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BD87E" w14:textId="77777777" w:rsidR="00163F81" w:rsidRDefault="00517CAD" w:rsidP="007A7A01">
      <w:pPr>
        <w:widowControl w:val="0"/>
        <w:tabs>
          <w:tab w:val="left" w:pos="1134"/>
          <w:tab w:val="left" w:pos="1560"/>
        </w:tabs>
        <w:ind w:left="1134" w:hanging="1134"/>
        <w:jc w:val="center"/>
        <w:rPr>
          <w:rFonts w:ascii="Arial" w:hAnsi="Arial" w:cs="Arial"/>
          <w:b/>
          <w:sz w:val="24"/>
          <w:szCs w:val="24"/>
        </w:rPr>
      </w:pPr>
      <w:r w:rsidRPr="00125F34">
        <w:rPr>
          <w:rFonts w:ascii="Arial" w:hAnsi="Arial" w:cs="Arial"/>
          <w:b/>
          <w:sz w:val="24"/>
          <w:szCs w:val="24"/>
        </w:rPr>
        <w:t xml:space="preserve">ANEXO I – </w:t>
      </w:r>
      <w:r>
        <w:rPr>
          <w:rFonts w:ascii="Arial" w:hAnsi="Arial" w:cs="Arial"/>
          <w:b/>
          <w:sz w:val="24"/>
          <w:szCs w:val="24"/>
        </w:rPr>
        <w:t>I</w:t>
      </w:r>
    </w:p>
    <w:p w14:paraId="47879F73" w14:textId="77777777" w:rsidR="00163F81" w:rsidRPr="00163F81" w:rsidRDefault="00163F81" w:rsidP="007A7A01">
      <w:pPr>
        <w:widowControl w:val="0"/>
        <w:tabs>
          <w:tab w:val="left" w:pos="1134"/>
          <w:tab w:val="left" w:pos="1560"/>
        </w:tabs>
        <w:ind w:left="1134" w:hanging="1134"/>
        <w:jc w:val="center"/>
        <w:rPr>
          <w:rFonts w:ascii="Arial" w:hAnsi="Arial" w:cs="Arial"/>
          <w:sz w:val="6"/>
          <w:szCs w:val="6"/>
        </w:rPr>
      </w:pPr>
    </w:p>
    <w:p w14:paraId="23DDD966" w14:textId="3AE65872" w:rsidR="00517CAD" w:rsidRPr="007A7A01" w:rsidRDefault="00517CAD" w:rsidP="007A7A01">
      <w:pPr>
        <w:widowControl w:val="0"/>
        <w:tabs>
          <w:tab w:val="left" w:pos="1134"/>
          <w:tab w:val="left" w:pos="1560"/>
        </w:tabs>
        <w:ind w:left="1134" w:hanging="1134"/>
        <w:jc w:val="center"/>
        <w:rPr>
          <w:rFonts w:ascii="Arial" w:hAnsi="Arial" w:cs="Arial"/>
          <w:sz w:val="24"/>
          <w:szCs w:val="24"/>
        </w:rPr>
      </w:pPr>
      <w:r w:rsidRPr="00125F34">
        <w:rPr>
          <w:rFonts w:ascii="Arial" w:hAnsi="Arial" w:cs="Arial"/>
          <w:b/>
          <w:sz w:val="24"/>
          <w:szCs w:val="24"/>
          <w:u w:val="single"/>
        </w:rPr>
        <w:t>GLOSSÁRIO</w:t>
      </w:r>
    </w:p>
    <w:p w14:paraId="10E9F533" w14:textId="77777777" w:rsidR="00517CAD" w:rsidRPr="00125F34" w:rsidRDefault="00517CAD" w:rsidP="00517CAD">
      <w:pPr>
        <w:tabs>
          <w:tab w:val="left" w:pos="1418"/>
        </w:tabs>
        <w:ind w:left="1418" w:right="108" w:hanging="1418"/>
        <w:jc w:val="center"/>
        <w:rPr>
          <w:rFonts w:ascii="Arial" w:hAnsi="Arial" w:cs="Arial"/>
          <w:b/>
          <w:sz w:val="24"/>
          <w:szCs w:val="24"/>
          <w:highlight w:val="yellow"/>
        </w:rPr>
      </w:pPr>
    </w:p>
    <w:tbl>
      <w:tblPr>
        <w:tblW w:w="5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3115"/>
        <w:gridCol w:w="11763"/>
      </w:tblGrid>
      <w:tr w:rsidR="007A7A01" w:rsidRPr="007A7A01" w14:paraId="0B6DB3DA" w14:textId="77777777" w:rsidTr="5C666337">
        <w:trPr>
          <w:trHeight w:val="20"/>
          <w:jc w:val="center"/>
        </w:trPr>
        <w:tc>
          <w:tcPr>
            <w:tcW w:w="1047" w:type="pct"/>
            <w:shd w:val="clear" w:color="auto" w:fill="4472C4" w:themeFill="accent1"/>
            <w:vAlign w:val="center"/>
          </w:tcPr>
          <w:p w14:paraId="7A706284" w14:textId="4B60FD9C" w:rsidR="00517CAD"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ACESSO REMOTO</w:t>
            </w:r>
          </w:p>
        </w:tc>
        <w:tc>
          <w:tcPr>
            <w:tcW w:w="3953" w:type="pct"/>
            <w:vAlign w:val="center"/>
          </w:tcPr>
          <w:p w14:paraId="44805C9C" w14:textId="77777777" w:rsidR="00517CAD" w:rsidRPr="007A7A01" w:rsidRDefault="00517CAD"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Nome atribuído à capacidade de efetuar acesso a um computador ou a uma rede a partir de uma localidade remota, dentro da mesma rede ou a partir de redes diferentes.</w:t>
            </w:r>
          </w:p>
        </w:tc>
      </w:tr>
      <w:tr w:rsidR="007A7A01" w:rsidRPr="007A7A01" w14:paraId="66709840" w14:textId="77777777" w:rsidTr="5C666337">
        <w:trPr>
          <w:trHeight w:val="20"/>
          <w:jc w:val="center"/>
        </w:trPr>
        <w:tc>
          <w:tcPr>
            <w:tcW w:w="1047" w:type="pct"/>
            <w:shd w:val="clear" w:color="auto" w:fill="4472C4" w:themeFill="accent1"/>
            <w:vAlign w:val="center"/>
          </w:tcPr>
          <w:p w14:paraId="0A996A3F" w14:textId="64C3EB09" w:rsidR="00517CAD"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AD - ACTIVE DIRECTORY</w:t>
            </w:r>
          </w:p>
        </w:tc>
        <w:tc>
          <w:tcPr>
            <w:tcW w:w="3953" w:type="pct"/>
            <w:vAlign w:val="center"/>
          </w:tcPr>
          <w:p w14:paraId="3A8DA145" w14:textId="77777777" w:rsidR="00517CAD" w:rsidRPr="007A7A01" w:rsidRDefault="00517CAD"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Serviço de diretório do Windows que armazena contas, senhas e políticas da rede.</w:t>
            </w:r>
          </w:p>
        </w:tc>
      </w:tr>
      <w:tr w:rsidR="007A7A01" w:rsidRPr="007A7A01" w14:paraId="0DAFE040" w14:textId="77777777" w:rsidTr="5C666337">
        <w:trPr>
          <w:trHeight w:val="20"/>
          <w:jc w:val="center"/>
        </w:trPr>
        <w:tc>
          <w:tcPr>
            <w:tcW w:w="1047" w:type="pct"/>
            <w:shd w:val="clear" w:color="auto" w:fill="4472C4" w:themeFill="accent1"/>
            <w:vAlign w:val="center"/>
          </w:tcPr>
          <w:p w14:paraId="380F4BC6" w14:textId="5DA88129" w:rsidR="00F55E9A" w:rsidRPr="00430EB1" w:rsidRDefault="007A7A01" w:rsidP="5C666337">
            <w:pPr>
              <w:widowControl w:val="0"/>
              <w:spacing w:before="120" w:after="120"/>
              <w:jc w:val="center"/>
              <w:rPr>
                <w:rFonts w:asciiTheme="majorHAnsi" w:hAnsiTheme="majorHAnsi" w:cstheme="majorBidi"/>
                <w:b/>
                <w:bCs/>
                <w:color w:val="FFFFFF" w:themeColor="background1"/>
                <w:sz w:val="24"/>
                <w:szCs w:val="24"/>
              </w:rPr>
            </w:pPr>
            <w:r w:rsidRPr="5C666337">
              <w:rPr>
                <w:rFonts w:asciiTheme="majorHAnsi" w:hAnsiTheme="majorHAnsi" w:cstheme="majorBidi"/>
                <w:b/>
                <w:bCs/>
                <w:color w:val="FFFFFF" w:themeColor="background1"/>
                <w:sz w:val="24"/>
                <w:szCs w:val="24"/>
              </w:rPr>
              <w:t>ALMOXARIFADO (OU DEPÓSITO)</w:t>
            </w:r>
          </w:p>
        </w:tc>
        <w:tc>
          <w:tcPr>
            <w:tcW w:w="3953" w:type="pct"/>
            <w:vAlign w:val="center"/>
          </w:tcPr>
          <w:p w14:paraId="3DDACB23" w14:textId="3A7139CE" w:rsidR="00F55E9A" w:rsidRPr="00430EB1" w:rsidRDefault="007D71EC" w:rsidP="5C666337">
            <w:pPr>
              <w:widowControl w:val="0"/>
              <w:spacing w:before="120" w:after="120"/>
              <w:rPr>
                <w:rFonts w:asciiTheme="majorHAnsi" w:hAnsiTheme="majorHAnsi" w:cstheme="majorBidi"/>
                <w:sz w:val="22"/>
                <w:szCs w:val="22"/>
              </w:rPr>
            </w:pPr>
            <w:r w:rsidRPr="5C666337">
              <w:rPr>
                <w:rFonts w:asciiTheme="majorHAnsi" w:hAnsiTheme="majorHAnsi" w:cstheme="majorBidi"/>
                <w:sz w:val="22"/>
                <w:szCs w:val="22"/>
              </w:rPr>
              <w:t xml:space="preserve">Ambiente </w:t>
            </w:r>
            <w:r w:rsidR="00E61B7B" w:rsidRPr="5C666337">
              <w:rPr>
                <w:rFonts w:asciiTheme="majorHAnsi" w:hAnsiTheme="majorHAnsi" w:cstheme="majorBidi"/>
                <w:sz w:val="22"/>
                <w:szCs w:val="22"/>
              </w:rPr>
              <w:t xml:space="preserve">da </w:t>
            </w:r>
            <w:r w:rsidR="00865EEC" w:rsidRPr="5C666337">
              <w:rPr>
                <w:rFonts w:asciiTheme="majorHAnsi" w:hAnsiTheme="majorHAnsi" w:cstheme="majorBidi"/>
                <w:sz w:val="22"/>
                <w:szCs w:val="22"/>
              </w:rPr>
              <w:t>CAIXA</w:t>
            </w:r>
            <w:r w:rsidR="00742D43" w:rsidRPr="5C666337">
              <w:rPr>
                <w:rFonts w:asciiTheme="majorHAnsi" w:hAnsiTheme="majorHAnsi" w:cstheme="majorBidi"/>
                <w:sz w:val="22"/>
                <w:szCs w:val="22"/>
              </w:rPr>
              <w:t xml:space="preserve"> (interno ou externo)</w:t>
            </w:r>
            <w:r w:rsidR="00865EEC" w:rsidRPr="5C666337">
              <w:rPr>
                <w:rFonts w:asciiTheme="majorHAnsi" w:hAnsiTheme="majorHAnsi" w:cstheme="majorBidi"/>
                <w:sz w:val="22"/>
                <w:szCs w:val="22"/>
              </w:rPr>
              <w:t xml:space="preserve"> d</w:t>
            </w:r>
            <w:r w:rsidR="00976A75" w:rsidRPr="5C666337">
              <w:rPr>
                <w:rFonts w:asciiTheme="majorHAnsi" w:hAnsiTheme="majorHAnsi" w:cstheme="majorBidi"/>
                <w:sz w:val="22"/>
                <w:szCs w:val="22"/>
              </w:rPr>
              <w:t>estinado à guarda, localização, segurança e preservação do</w:t>
            </w:r>
            <w:r w:rsidR="00742D43" w:rsidRPr="5C666337">
              <w:rPr>
                <w:rFonts w:asciiTheme="majorHAnsi" w:hAnsiTheme="majorHAnsi" w:cstheme="majorBidi"/>
                <w:sz w:val="22"/>
                <w:szCs w:val="22"/>
              </w:rPr>
              <w:t xml:space="preserve"> </w:t>
            </w:r>
            <w:r w:rsidR="00976A75" w:rsidRPr="5C666337">
              <w:rPr>
                <w:rFonts w:asciiTheme="majorHAnsi" w:hAnsiTheme="majorHAnsi" w:cstheme="majorBidi"/>
                <w:sz w:val="22"/>
                <w:szCs w:val="22"/>
              </w:rPr>
              <w:t>material adquirido, adequado à sua natureza, a fim de suprir as necessidades operacionais</w:t>
            </w:r>
            <w:r w:rsidR="00AB1DE9" w:rsidRPr="5C666337">
              <w:rPr>
                <w:rFonts w:asciiTheme="majorHAnsi" w:hAnsiTheme="majorHAnsi" w:cstheme="majorBidi"/>
                <w:sz w:val="22"/>
                <w:szCs w:val="22"/>
              </w:rPr>
              <w:t xml:space="preserve">, </w:t>
            </w:r>
            <w:r w:rsidR="003C5750" w:rsidRPr="5C666337">
              <w:rPr>
                <w:rFonts w:asciiTheme="majorHAnsi" w:hAnsiTheme="majorHAnsi" w:cstheme="majorBidi"/>
                <w:sz w:val="22"/>
                <w:szCs w:val="22"/>
              </w:rPr>
              <w:t>sen</w:t>
            </w:r>
            <w:r w:rsidR="00430EB1" w:rsidRPr="5C666337">
              <w:rPr>
                <w:rFonts w:asciiTheme="majorHAnsi" w:hAnsiTheme="majorHAnsi" w:cstheme="majorBidi"/>
                <w:sz w:val="22"/>
                <w:szCs w:val="22"/>
              </w:rPr>
              <w:t>do recepção, laboratório e expedição.</w:t>
            </w:r>
          </w:p>
        </w:tc>
      </w:tr>
      <w:tr w:rsidR="007A7A01" w:rsidRPr="007A7A01" w14:paraId="013B9745" w14:textId="77777777" w:rsidTr="5C666337">
        <w:trPr>
          <w:trHeight w:val="20"/>
          <w:jc w:val="center"/>
        </w:trPr>
        <w:tc>
          <w:tcPr>
            <w:tcW w:w="1047" w:type="pct"/>
            <w:shd w:val="clear" w:color="auto" w:fill="4472C4" w:themeFill="accent1"/>
            <w:vAlign w:val="center"/>
          </w:tcPr>
          <w:p w14:paraId="0DB77F78" w14:textId="216F8FC9" w:rsidR="00517CAD"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AMBIENTE DESCENTRALIZADO</w:t>
            </w:r>
          </w:p>
        </w:tc>
        <w:tc>
          <w:tcPr>
            <w:tcW w:w="3953" w:type="pct"/>
            <w:vAlign w:val="center"/>
          </w:tcPr>
          <w:p w14:paraId="53A1CCD3" w14:textId="77777777" w:rsidR="00517CAD" w:rsidRPr="007A7A01" w:rsidRDefault="00517CAD"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Ambiente computacional da CAIXA composto por três grandes grupos de recursos tecnológicos: Plataforma distribuída (microcomputadores, servidores, notebooks, impressoras, terminais de autoatendimento, etc.), Redes (circuitos de dados e elementos ativos) e Telefonia (centrais telefônicas, ramais, fax, troncos e circuitos de voz).</w:t>
            </w:r>
          </w:p>
        </w:tc>
      </w:tr>
      <w:tr w:rsidR="007A7A01" w:rsidRPr="007A7A01" w14:paraId="2E3B3507" w14:textId="77777777" w:rsidTr="5C666337">
        <w:trPr>
          <w:trHeight w:val="20"/>
          <w:jc w:val="center"/>
        </w:trPr>
        <w:tc>
          <w:tcPr>
            <w:tcW w:w="1047" w:type="pct"/>
            <w:shd w:val="clear" w:color="auto" w:fill="4472C4" w:themeFill="accent1"/>
            <w:vAlign w:val="center"/>
          </w:tcPr>
          <w:p w14:paraId="6626D2A9" w14:textId="235D86CD" w:rsidR="00517CAD"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ANÁLISE DE TENDÊNCIA</w:t>
            </w:r>
          </w:p>
        </w:tc>
        <w:tc>
          <w:tcPr>
            <w:tcW w:w="3953" w:type="pct"/>
            <w:vAlign w:val="center"/>
          </w:tcPr>
          <w:p w14:paraId="7A6C77C2" w14:textId="77777777" w:rsidR="00517CAD" w:rsidRPr="007A7A01" w:rsidRDefault="00517CAD"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Análise de dados para identificar padrões ao longo do tempo. A análise de tendência é usada no gerenciamento de problema para identificar falhas frequentes ou itens de configuração que deixam de funcionar com facilidade e, em gerenciamento de capacidade, como uma ferramenta de modelagem para prever comportamento futuro. É também usada como uma ferramenta de gerenciamento para identificar deficiências nos processos do gerenciamento de serviço de TI.</w:t>
            </w:r>
          </w:p>
        </w:tc>
      </w:tr>
      <w:tr w:rsidR="007A7A01" w:rsidRPr="007A7A01" w14:paraId="05D9BF98" w14:textId="77777777" w:rsidTr="5C666337">
        <w:trPr>
          <w:trHeight w:val="20"/>
          <w:jc w:val="center"/>
        </w:trPr>
        <w:tc>
          <w:tcPr>
            <w:tcW w:w="1047" w:type="pct"/>
            <w:shd w:val="clear" w:color="auto" w:fill="4472C4" w:themeFill="accent1"/>
            <w:vAlign w:val="center"/>
          </w:tcPr>
          <w:p w14:paraId="05BC8723" w14:textId="7945AD32" w:rsidR="00517CAD"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ATM - AUTOMATIC TELLER MACHINE</w:t>
            </w:r>
          </w:p>
        </w:tc>
        <w:tc>
          <w:tcPr>
            <w:tcW w:w="3953" w:type="pct"/>
            <w:vAlign w:val="center"/>
          </w:tcPr>
          <w:p w14:paraId="2C990822" w14:textId="3A9476A4" w:rsidR="00517CAD" w:rsidRPr="007A7A01" w:rsidRDefault="00471A58"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 xml:space="preserve">Denominação do equipamento </w:t>
            </w:r>
            <w:r w:rsidR="00F35329" w:rsidRPr="007A7A01">
              <w:rPr>
                <w:rFonts w:asciiTheme="majorHAnsi" w:hAnsiTheme="majorHAnsi" w:cstheme="majorHAnsi"/>
                <w:sz w:val="22"/>
                <w:szCs w:val="22"/>
              </w:rPr>
              <w:t xml:space="preserve">eletrônico </w:t>
            </w:r>
            <w:r w:rsidRPr="007A7A01">
              <w:rPr>
                <w:rFonts w:asciiTheme="majorHAnsi" w:hAnsiTheme="majorHAnsi" w:cstheme="majorHAnsi"/>
                <w:sz w:val="22"/>
                <w:szCs w:val="22"/>
              </w:rPr>
              <w:t>que disponibiliza os serviços de dispensador de notas, pagamentos de contas com códigos de barras e módulo depositário</w:t>
            </w:r>
            <w:r w:rsidR="00517CAD" w:rsidRPr="007A7A01">
              <w:rPr>
                <w:rFonts w:asciiTheme="majorHAnsi" w:hAnsiTheme="majorHAnsi" w:cstheme="majorHAnsi"/>
                <w:sz w:val="22"/>
                <w:szCs w:val="22"/>
              </w:rPr>
              <w:t xml:space="preserve"> que permite aos clientes </w:t>
            </w:r>
            <w:r w:rsidR="00D25696" w:rsidRPr="007A7A01">
              <w:rPr>
                <w:rFonts w:asciiTheme="majorHAnsi" w:hAnsiTheme="majorHAnsi" w:cstheme="majorHAnsi"/>
                <w:sz w:val="22"/>
                <w:szCs w:val="22"/>
              </w:rPr>
              <w:t>realizarem</w:t>
            </w:r>
            <w:r w:rsidR="00517CAD" w:rsidRPr="007A7A01">
              <w:rPr>
                <w:rFonts w:asciiTheme="majorHAnsi" w:hAnsiTheme="majorHAnsi" w:cstheme="majorHAnsi"/>
                <w:sz w:val="22"/>
                <w:szCs w:val="22"/>
              </w:rPr>
              <w:t xml:space="preserve"> transações em regime de autosserviço.</w:t>
            </w:r>
          </w:p>
        </w:tc>
      </w:tr>
      <w:tr w:rsidR="007A7A01" w:rsidRPr="007A7A01" w14:paraId="52087389" w14:textId="77777777" w:rsidTr="5C666337">
        <w:trPr>
          <w:trHeight w:val="20"/>
          <w:jc w:val="center"/>
        </w:trPr>
        <w:tc>
          <w:tcPr>
            <w:tcW w:w="1047" w:type="pct"/>
            <w:shd w:val="clear" w:color="auto" w:fill="4472C4" w:themeFill="accent1"/>
            <w:vAlign w:val="center"/>
          </w:tcPr>
          <w:p w14:paraId="71E3FA09" w14:textId="3871FA1A" w:rsidR="00143EF1"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BACKUP</w:t>
            </w:r>
          </w:p>
        </w:tc>
        <w:tc>
          <w:tcPr>
            <w:tcW w:w="3953" w:type="pct"/>
            <w:vAlign w:val="center"/>
          </w:tcPr>
          <w:p w14:paraId="51FC2AF2" w14:textId="34663430" w:rsidR="00143EF1" w:rsidRPr="007A7A01" w:rsidRDefault="007875F4"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Ato de copiar arquivos, pastas ou discos inteiros (físicos ou virtuais) para sistemas de armazenamento secundários, buscando a preservação dos dados em caso de qualquer problema.</w:t>
            </w:r>
          </w:p>
        </w:tc>
      </w:tr>
      <w:tr w:rsidR="001A02E9" w:rsidRPr="007A7A01" w14:paraId="35BA736A" w14:textId="77777777" w:rsidTr="5C666337">
        <w:trPr>
          <w:trHeight w:val="20"/>
          <w:jc w:val="center"/>
        </w:trPr>
        <w:tc>
          <w:tcPr>
            <w:tcW w:w="1047" w:type="pct"/>
            <w:shd w:val="clear" w:color="auto" w:fill="4472C4" w:themeFill="accent1"/>
            <w:vAlign w:val="center"/>
          </w:tcPr>
          <w:p w14:paraId="377C359F" w14:textId="1F925CDF" w:rsidR="001A02E9" w:rsidRPr="001A02E9" w:rsidRDefault="001A02E9" w:rsidP="5C666337">
            <w:pPr>
              <w:widowControl w:val="0"/>
              <w:spacing w:before="120" w:after="120"/>
              <w:jc w:val="center"/>
              <w:rPr>
                <w:rFonts w:asciiTheme="majorHAnsi" w:hAnsiTheme="majorHAnsi" w:cstheme="majorBidi"/>
                <w:b/>
                <w:bCs/>
                <w:color w:val="FFFFFF" w:themeColor="background1"/>
                <w:sz w:val="24"/>
                <w:szCs w:val="24"/>
              </w:rPr>
            </w:pPr>
            <w:r w:rsidRPr="5C666337">
              <w:rPr>
                <w:rFonts w:asciiTheme="majorHAnsi" w:hAnsiTheme="majorHAnsi" w:cstheme="majorBidi"/>
                <w:b/>
                <w:bCs/>
                <w:color w:val="FFFFFF" w:themeColor="background1"/>
                <w:sz w:val="24"/>
                <w:szCs w:val="24"/>
              </w:rPr>
              <w:t>BALCÃO TI</w:t>
            </w:r>
          </w:p>
        </w:tc>
        <w:tc>
          <w:tcPr>
            <w:tcW w:w="3953" w:type="pct"/>
            <w:vAlign w:val="center"/>
          </w:tcPr>
          <w:p w14:paraId="3321E0D1" w14:textId="7C798DF4" w:rsidR="001A02E9" w:rsidRPr="001A02E9" w:rsidRDefault="006A09D8" w:rsidP="5C666337">
            <w:pPr>
              <w:widowControl w:val="0"/>
              <w:spacing w:before="120" w:after="120"/>
              <w:rPr>
                <w:rFonts w:asciiTheme="majorHAnsi" w:hAnsiTheme="majorHAnsi" w:cstheme="majorBidi"/>
                <w:sz w:val="22"/>
                <w:szCs w:val="22"/>
              </w:rPr>
            </w:pPr>
            <w:r w:rsidRPr="5C666337">
              <w:rPr>
                <w:rFonts w:asciiTheme="majorHAnsi" w:hAnsiTheme="majorHAnsi" w:cstheme="majorBidi"/>
                <w:sz w:val="22"/>
                <w:szCs w:val="22"/>
              </w:rPr>
              <w:t>Ambiente da CAIXA destinado ao atendimento aos usuários de TI</w:t>
            </w:r>
            <w:r w:rsidR="00857C5A" w:rsidRPr="5C666337">
              <w:rPr>
                <w:rFonts w:asciiTheme="majorHAnsi" w:hAnsiTheme="majorHAnsi" w:cstheme="majorBidi"/>
                <w:sz w:val="22"/>
                <w:szCs w:val="22"/>
              </w:rPr>
              <w:t xml:space="preserve">, </w:t>
            </w:r>
            <w:r w:rsidR="00D72BC0" w:rsidRPr="5C666337">
              <w:rPr>
                <w:rFonts w:asciiTheme="majorHAnsi" w:hAnsiTheme="majorHAnsi" w:cstheme="majorBidi"/>
                <w:sz w:val="22"/>
                <w:szCs w:val="22"/>
              </w:rPr>
              <w:t>onde podem ser levados os dispositivos físicos para atendimento e suporte</w:t>
            </w:r>
            <w:r w:rsidR="00434DD9" w:rsidRPr="5C666337">
              <w:rPr>
                <w:rFonts w:asciiTheme="majorHAnsi" w:hAnsiTheme="majorHAnsi" w:cstheme="majorBidi"/>
                <w:sz w:val="22"/>
                <w:szCs w:val="22"/>
              </w:rPr>
              <w:t>.</w:t>
            </w:r>
          </w:p>
        </w:tc>
      </w:tr>
      <w:tr w:rsidR="007A7A01" w:rsidRPr="007A7A01" w14:paraId="5BF89356" w14:textId="77777777" w:rsidTr="5C666337">
        <w:trPr>
          <w:trHeight w:val="20"/>
          <w:jc w:val="center"/>
        </w:trPr>
        <w:tc>
          <w:tcPr>
            <w:tcW w:w="1047" w:type="pct"/>
            <w:shd w:val="clear" w:color="auto" w:fill="4472C4" w:themeFill="accent1"/>
            <w:vAlign w:val="center"/>
          </w:tcPr>
          <w:p w14:paraId="6F4C302F" w14:textId="79AF7810" w:rsidR="006F7876"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CAD - CENTRO DE ARMAZENAGEM E DISTRIBUIÇÃO</w:t>
            </w:r>
          </w:p>
        </w:tc>
        <w:tc>
          <w:tcPr>
            <w:tcW w:w="3953" w:type="pct"/>
            <w:vAlign w:val="center"/>
          </w:tcPr>
          <w:p w14:paraId="58E172A9" w14:textId="74F8D136" w:rsidR="006F7876" w:rsidRPr="007A7A01" w:rsidRDefault="00E0283D"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Ambiente administrado pelo Operador Logístico, e gerido pela CELOG</w:t>
            </w:r>
            <w:r w:rsidR="009221BD" w:rsidRPr="007A7A01">
              <w:rPr>
                <w:rFonts w:asciiTheme="majorHAnsi" w:hAnsiTheme="majorHAnsi" w:cstheme="majorHAnsi"/>
                <w:sz w:val="22"/>
                <w:szCs w:val="22"/>
              </w:rPr>
              <w:t xml:space="preserve"> - CN Logística e Gestão de Imóveis</w:t>
            </w:r>
            <w:r w:rsidRPr="007A7A01">
              <w:rPr>
                <w:rFonts w:asciiTheme="majorHAnsi" w:hAnsiTheme="majorHAnsi" w:cstheme="majorHAnsi"/>
                <w:sz w:val="22"/>
                <w:szCs w:val="22"/>
              </w:rPr>
              <w:t>, utilizado para tratamento dos materiais em trânsito cuja destinação esteja definida pelo gestor do material.</w:t>
            </w:r>
          </w:p>
        </w:tc>
      </w:tr>
      <w:tr w:rsidR="007A7A01" w:rsidRPr="007A7A01" w14:paraId="35748E93" w14:textId="77777777" w:rsidTr="5C666337">
        <w:trPr>
          <w:trHeight w:val="20"/>
          <w:jc w:val="center"/>
        </w:trPr>
        <w:tc>
          <w:tcPr>
            <w:tcW w:w="1047" w:type="pct"/>
            <w:shd w:val="clear" w:color="auto" w:fill="4472C4" w:themeFill="accent1"/>
            <w:vAlign w:val="center"/>
          </w:tcPr>
          <w:p w14:paraId="0D97E963" w14:textId="2B9477B5" w:rsidR="00517CAD"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lastRenderedPageBreak/>
              <w:t>CANAIS ELETRÔNICOS</w:t>
            </w:r>
          </w:p>
        </w:tc>
        <w:tc>
          <w:tcPr>
            <w:tcW w:w="3953" w:type="pct"/>
            <w:vAlign w:val="center"/>
          </w:tcPr>
          <w:p w14:paraId="17E1332A" w14:textId="77777777" w:rsidR="00517CAD" w:rsidRPr="007A7A01" w:rsidRDefault="00517CAD"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Ambientes computacionais conectados à rede da CAIXA utilizados para efetuar transações bancárias e compostos de hardware, software e comunicação de rede de autoatendimento (SAA, SNC, PAE e Quiosques) e VAN-EDI.</w:t>
            </w:r>
          </w:p>
        </w:tc>
      </w:tr>
      <w:tr w:rsidR="007A7A01" w:rsidRPr="007A7A01" w14:paraId="790FB032" w14:textId="77777777" w:rsidTr="5C666337">
        <w:trPr>
          <w:trHeight w:val="20"/>
          <w:jc w:val="center"/>
        </w:trPr>
        <w:tc>
          <w:tcPr>
            <w:tcW w:w="1047" w:type="pct"/>
            <w:shd w:val="clear" w:color="auto" w:fill="4472C4" w:themeFill="accent1"/>
            <w:vAlign w:val="center"/>
          </w:tcPr>
          <w:p w14:paraId="538E7FB5" w14:textId="5C7CA4A5" w:rsidR="00517CAD"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CANAIS PARCEIROS</w:t>
            </w:r>
          </w:p>
        </w:tc>
        <w:tc>
          <w:tcPr>
            <w:tcW w:w="3953" w:type="pct"/>
            <w:vAlign w:val="center"/>
          </w:tcPr>
          <w:p w14:paraId="1CC62895" w14:textId="1C87577D" w:rsidR="00517CAD" w:rsidRPr="007A7A01" w:rsidRDefault="00517CAD"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 xml:space="preserve">Ambientes computacionais fora da rede interna da CAIXA utilizados para efetuar transações bancárias e compostos de hardware, software e comunicação vinculados a parceiros contratados nas mais diversas modalidades, dentre eles: Correspondente bancário (Caixa-Aqui), </w:t>
            </w:r>
            <w:r w:rsidR="00AB2F09" w:rsidRPr="007A7A01">
              <w:rPr>
                <w:rFonts w:asciiTheme="majorHAnsi" w:hAnsiTheme="majorHAnsi" w:cstheme="majorHAnsi"/>
                <w:sz w:val="22"/>
                <w:szCs w:val="22"/>
              </w:rPr>
              <w:t>Lotéricas</w:t>
            </w:r>
            <w:r w:rsidRPr="007A7A01">
              <w:rPr>
                <w:rFonts w:asciiTheme="majorHAnsi" w:hAnsiTheme="majorHAnsi" w:cstheme="majorHAnsi"/>
                <w:sz w:val="22"/>
                <w:szCs w:val="22"/>
              </w:rPr>
              <w:t>.</w:t>
            </w:r>
          </w:p>
        </w:tc>
      </w:tr>
      <w:tr w:rsidR="007A7A01" w:rsidRPr="007A7A01" w14:paraId="171C49B4" w14:textId="77777777" w:rsidTr="5C666337">
        <w:trPr>
          <w:trHeight w:val="20"/>
          <w:jc w:val="center"/>
        </w:trPr>
        <w:tc>
          <w:tcPr>
            <w:tcW w:w="1047" w:type="pct"/>
            <w:shd w:val="clear" w:color="auto" w:fill="4472C4" w:themeFill="accent1"/>
            <w:vAlign w:val="center"/>
          </w:tcPr>
          <w:p w14:paraId="69E766B9" w14:textId="25AAE571" w:rsidR="00517CAD"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CANAL AGÊNCIA</w:t>
            </w:r>
          </w:p>
        </w:tc>
        <w:tc>
          <w:tcPr>
            <w:tcW w:w="3953" w:type="pct"/>
            <w:vAlign w:val="center"/>
          </w:tcPr>
          <w:p w14:paraId="6D5CAB16" w14:textId="77777777" w:rsidR="00517CAD" w:rsidRPr="007A7A01" w:rsidRDefault="00517CAD"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Ambiente computacional interno a rede da CAIXA utilizado para efetuar transações bancárias e outros serviços e composto de hardware, software e comunicação para rede bancária e "back-office" da CAIXA.</w:t>
            </w:r>
          </w:p>
        </w:tc>
      </w:tr>
      <w:tr w:rsidR="007A7A01" w:rsidRPr="007A7A01" w14:paraId="6D7058F0" w14:textId="77777777" w:rsidTr="5C666337">
        <w:trPr>
          <w:trHeight w:val="20"/>
          <w:jc w:val="center"/>
        </w:trPr>
        <w:tc>
          <w:tcPr>
            <w:tcW w:w="1047" w:type="pct"/>
            <w:shd w:val="clear" w:color="auto" w:fill="4472C4" w:themeFill="accent1"/>
            <w:vAlign w:val="center"/>
          </w:tcPr>
          <w:p w14:paraId="334448A5" w14:textId="752F8834" w:rsidR="00517CAD"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CARENAGEM</w:t>
            </w:r>
          </w:p>
        </w:tc>
        <w:tc>
          <w:tcPr>
            <w:tcW w:w="3953" w:type="pct"/>
            <w:vAlign w:val="center"/>
          </w:tcPr>
          <w:p w14:paraId="5DA3BC01" w14:textId="77777777" w:rsidR="00517CAD" w:rsidRPr="007A7A01" w:rsidRDefault="00517CAD"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Item de envolvimento e proteção do equipamento que pode ou não conter elementos da infraestrutura elétrica ou lógica do PAE.</w:t>
            </w:r>
          </w:p>
        </w:tc>
      </w:tr>
      <w:tr w:rsidR="007A7A01" w:rsidRPr="007A7A01" w14:paraId="24709B17" w14:textId="77777777" w:rsidTr="5C666337">
        <w:trPr>
          <w:trHeight w:val="20"/>
          <w:jc w:val="center"/>
        </w:trPr>
        <w:tc>
          <w:tcPr>
            <w:tcW w:w="1047" w:type="pct"/>
            <w:shd w:val="clear" w:color="auto" w:fill="4472C4" w:themeFill="accent1"/>
            <w:vAlign w:val="center"/>
          </w:tcPr>
          <w:p w14:paraId="0A10E295" w14:textId="162FB770" w:rsidR="00517CAD"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CENTRAL DE SERVIÇOS (SERVICE DESK)</w:t>
            </w:r>
          </w:p>
        </w:tc>
        <w:tc>
          <w:tcPr>
            <w:tcW w:w="3953" w:type="pct"/>
            <w:vAlign w:val="center"/>
          </w:tcPr>
          <w:p w14:paraId="44D1171D" w14:textId="287FDE8F" w:rsidR="00517CAD" w:rsidRPr="007A7A01" w:rsidRDefault="00DF484F" w:rsidP="007A7A01">
            <w:pPr>
              <w:widowControl w:val="0"/>
              <w:autoSpaceDE w:val="0"/>
              <w:autoSpaceDN w:val="0"/>
              <w:adjustRightInd w:val="0"/>
              <w:spacing w:before="120" w:after="120"/>
              <w:rPr>
                <w:rFonts w:asciiTheme="majorHAnsi" w:hAnsiTheme="majorHAnsi" w:cstheme="majorHAnsi"/>
                <w:sz w:val="22"/>
                <w:szCs w:val="22"/>
              </w:rPr>
            </w:pPr>
            <w:r w:rsidRPr="007A7A01">
              <w:rPr>
                <w:rFonts w:asciiTheme="majorHAnsi" w:hAnsiTheme="majorHAnsi" w:cstheme="majorHAnsi"/>
                <w:sz w:val="22"/>
                <w:szCs w:val="22"/>
              </w:rPr>
              <w:t>A</w:t>
            </w:r>
            <w:r w:rsidR="003B1F51" w:rsidRPr="007A7A01">
              <w:rPr>
                <w:rFonts w:asciiTheme="majorHAnsi" w:hAnsiTheme="majorHAnsi" w:cstheme="majorHAnsi"/>
                <w:sz w:val="22"/>
                <w:szCs w:val="22"/>
              </w:rPr>
              <w:t xml:space="preserve"> Central de Serviços da CAIXA, está localizada em a</w:t>
            </w:r>
            <w:r w:rsidRPr="007A7A01">
              <w:rPr>
                <w:rFonts w:asciiTheme="majorHAnsi" w:hAnsiTheme="majorHAnsi" w:cstheme="majorHAnsi"/>
                <w:sz w:val="22"/>
                <w:szCs w:val="22"/>
              </w:rPr>
              <w:t>mbiente provido pela CONTRATADA</w:t>
            </w:r>
            <w:r w:rsidR="003B1F51" w:rsidRPr="007A7A01">
              <w:rPr>
                <w:rFonts w:asciiTheme="majorHAnsi" w:hAnsiTheme="majorHAnsi" w:cstheme="majorHAnsi"/>
                <w:sz w:val="22"/>
                <w:szCs w:val="22"/>
              </w:rPr>
              <w:t>,</w:t>
            </w:r>
            <w:r w:rsidRPr="007A7A01">
              <w:rPr>
                <w:rFonts w:asciiTheme="majorHAnsi" w:hAnsiTheme="majorHAnsi" w:cstheme="majorHAnsi"/>
                <w:sz w:val="22"/>
                <w:szCs w:val="22"/>
              </w:rPr>
              <w:t xml:space="preserve"> para alocação de equipes que fica</w:t>
            </w:r>
            <w:r w:rsidR="0072282A" w:rsidRPr="007A7A01">
              <w:rPr>
                <w:rFonts w:asciiTheme="majorHAnsi" w:hAnsiTheme="majorHAnsi" w:cstheme="majorHAnsi"/>
                <w:sz w:val="22"/>
                <w:szCs w:val="22"/>
              </w:rPr>
              <w:t>m</w:t>
            </w:r>
            <w:r w:rsidRPr="007A7A01">
              <w:rPr>
                <w:rFonts w:asciiTheme="majorHAnsi" w:hAnsiTheme="majorHAnsi" w:cstheme="majorHAnsi"/>
                <w:sz w:val="22"/>
                <w:szCs w:val="22"/>
              </w:rPr>
              <w:t xml:space="preserve"> encarregadas  pelas  demandas de TI  dos usuários e parceiros da CAIXA, incluindo os  atendimentos tecnológicos de 1º e 2º níveis, o registro,   tratamento e acompanhamento de incidentes e   requisições de serviço tratamento de eventos e alertas,    visando a disponibilidade dos equipamentos de   autoatendimento e terminais lotéricos, atuação na identificação de causas-raiz de incidentes, a manutenção  do Catálogo de Serviços, da Base dos Itens de  Configuração e da Base de Conhecimento, o tratamento  de solicitações de acesso, o suporte remoto e demais   atividades pertinentes à operação da Central de Serviços</w:t>
            </w:r>
            <w:r w:rsidR="00927F3E" w:rsidRPr="007A7A01">
              <w:rPr>
                <w:rFonts w:asciiTheme="majorHAnsi" w:hAnsiTheme="majorHAnsi" w:cstheme="majorHAnsi"/>
                <w:sz w:val="22"/>
                <w:szCs w:val="22"/>
              </w:rPr>
              <w:t>.</w:t>
            </w:r>
          </w:p>
        </w:tc>
      </w:tr>
      <w:tr w:rsidR="007A7A01" w:rsidRPr="007A7A01" w14:paraId="42134E99" w14:textId="77777777" w:rsidTr="5C666337">
        <w:trPr>
          <w:trHeight w:val="20"/>
          <w:jc w:val="center"/>
        </w:trPr>
        <w:tc>
          <w:tcPr>
            <w:tcW w:w="1047" w:type="pct"/>
            <w:shd w:val="clear" w:color="auto" w:fill="4472C4" w:themeFill="accent1"/>
            <w:vAlign w:val="center"/>
          </w:tcPr>
          <w:p w14:paraId="39891F3E" w14:textId="270AAC11" w:rsidR="00517CAD"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CEAUS</w:t>
            </w:r>
            <w:r w:rsidR="00163F81" w:rsidRPr="00600DEC">
              <w:rPr>
                <w:rFonts w:asciiTheme="majorHAnsi" w:hAnsiTheme="majorHAnsi" w:cstheme="majorHAnsi"/>
                <w:b/>
                <w:color w:val="FFFFFF" w:themeColor="background1"/>
                <w:sz w:val="24"/>
                <w:szCs w:val="24"/>
              </w:rPr>
              <w:t xml:space="preserve"> - </w:t>
            </w:r>
            <w:r w:rsidRPr="00600DEC">
              <w:rPr>
                <w:rFonts w:asciiTheme="majorHAnsi" w:hAnsiTheme="majorHAnsi" w:cstheme="majorHAnsi"/>
                <w:b/>
                <w:color w:val="FFFFFF" w:themeColor="background1"/>
                <w:sz w:val="24"/>
                <w:szCs w:val="24"/>
              </w:rPr>
              <w:t>CENTRALIZADORA NACIONAL ATENDIMENTO USUÁRIOS TI</w:t>
            </w:r>
          </w:p>
        </w:tc>
        <w:tc>
          <w:tcPr>
            <w:tcW w:w="3953" w:type="pct"/>
            <w:vAlign w:val="center"/>
          </w:tcPr>
          <w:p w14:paraId="5C805394" w14:textId="6285914F" w:rsidR="00517CAD" w:rsidRPr="007A7A01" w:rsidRDefault="00517CAD" w:rsidP="007A7A01">
            <w:pPr>
              <w:widowControl w:val="0"/>
              <w:spacing w:before="120" w:after="120"/>
              <w:rPr>
                <w:rFonts w:asciiTheme="majorHAnsi" w:hAnsiTheme="majorHAnsi" w:cstheme="majorHAnsi"/>
                <w:sz w:val="22"/>
                <w:szCs w:val="22"/>
              </w:rPr>
            </w:pPr>
            <w:r w:rsidRPr="007A7A01">
              <w:rPr>
                <w:rFonts w:asciiTheme="majorHAnsi" w:hAnsiTheme="majorHAnsi" w:cstheme="majorHAnsi"/>
                <w:color w:val="000000"/>
                <w:sz w:val="22"/>
                <w:szCs w:val="22"/>
              </w:rPr>
              <w:t xml:space="preserve">Unidade </w:t>
            </w:r>
            <w:r w:rsidR="004E18C6" w:rsidRPr="007A7A01">
              <w:rPr>
                <w:rFonts w:asciiTheme="majorHAnsi" w:hAnsiTheme="majorHAnsi" w:cstheme="majorHAnsi"/>
                <w:color w:val="000000"/>
                <w:sz w:val="22"/>
                <w:szCs w:val="22"/>
              </w:rPr>
              <w:t xml:space="preserve">Administrativa da </w:t>
            </w:r>
            <w:r w:rsidRPr="007A7A01">
              <w:rPr>
                <w:rFonts w:asciiTheme="majorHAnsi" w:hAnsiTheme="majorHAnsi" w:cstheme="majorHAnsi"/>
                <w:color w:val="000000"/>
                <w:sz w:val="22"/>
                <w:szCs w:val="22"/>
              </w:rPr>
              <w:t>CAIXA responsável pelas atividades táticas do ambiente descentralizado da TI, como suporte de 3º nível, produção, operação e suporte de sistemas e serviços.</w:t>
            </w:r>
          </w:p>
        </w:tc>
      </w:tr>
      <w:tr w:rsidR="007A7A01" w:rsidRPr="007A7A01" w14:paraId="3AEE68BE" w14:textId="77777777" w:rsidTr="5C666337">
        <w:trPr>
          <w:trHeight w:val="20"/>
          <w:jc w:val="center"/>
        </w:trPr>
        <w:tc>
          <w:tcPr>
            <w:tcW w:w="1047" w:type="pct"/>
            <w:shd w:val="clear" w:color="auto" w:fill="4472C4" w:themeFill="accent1"/>
            <w:vAlign w:val="center"/>
          </w:tcPr>
          <w:p w14:paraId="399124A4" w14:textId="36DC2810" w:rsidR="0018671F"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CGT – CENTRO DE GERENCIAMENTO DE TELECOMUNICAÇÕES</w:t>
            </w:r>
          </w:p>
        </w:tc>
        <w:tc>
          <w:tcPr>
            <w:tcW w:w="3953" w:type="pct"/>
            <w:vAlign w:val="center"/>
          </w:tcPr>
          <w:p w14:paraId="10377774" w14:textId="0FA62CEC" w:rsidR="0018671F" w:rsidRPr="007A7A01" w:rsidRDefault="00DD40BF" w:rsidP="007A7A01">
            <w:pPr>
              <w:widowControl w:val="0"/>
              <w:spacing w:before="120" w:after="120"/>
              <w:rPr>
                <w:rFonts w:asciiTheme="majorHAnsi" w:hAnsiTheme="majorHAnsi" w:cstheme="majorHAnsi"/>
                <w:color w:val="000000"/>
                <w:sz w:val="22"/>
                <w:szCs w:val="22"/>
              </w:rPr>
            </w:pPr>
            <w:r w:rsidRPr="007A7A01">
              <w:rPr>
                <w:rFonts w:asciiTheme="majorHAnsi" w:hAnsiTheme="majorHAnsi" w:cstheme="majorHAnsi"/>
                <w:bCs/>
                <w:sz w:val="22"/>
                <w:szCs w:val="22"/>
              </w:rPr>
              <w:t xml:space="preserve">Unidade integrante da estrutura da </w:t>
            </w:r>
            <w:r w:rsidR="00060298" w:rsidRPr="007A7A01">
              <w:rPr>
                <w:rFonts w:asciiTheme="majorHAnsi" w:hAnsiTheme="majorHAnsi" w:cstheme="majorHAnsi"/>
                <w:bCs/>
                <w:sz w:val="22"/>
                <w:szCs w:val="22"/>
              </w:rPr>
              <w:t>GN de Telecomunicações</w:t>
            </w:r>
            <w:r w:rsidR="005203C3" w:rsidRPr="007A7A01">
              <w:rPr>
                <w:rFonts w:asciiTheme="majorHAnsi" w:hAnsiTheme="majorHAnsi" w:cstheme="majorHAnsi"/>
                <w:bCs/>
                <w:sz w:val="22"/>
                <w:szCs w:val="22"/>
              </w:rPr>
              <w:t xml:space="preserve"> - GETEL</w:t>
            </w:r>
            <w:r w:rsidR="00060298" w:rsidRPr="007A7A01">
              <w:rPr>
                <w:rFonts w:asciiTheme="majorHAnsi" w:hAnsiTheme="majorHAnsi" w:cstheme="majorHAnsi"/>
                <w:bCs/>
                <w:sz w:val="22"/>
                <w:szCs w:val="22"/>
              </w:rPr>
              <w:t xml:space="preserve">, </w:t>
            </w:r>
            <w:r w:rsidRPr="007A7A01">
              <w:rPr>
                <w:rFonts w:asciiTheme="majorHAnsi" w:hAnsiTheme="majorHAnsi" w:cstheme="majorHAnsi"/>
                <w:bCs/>
                <w:sz w:val="22"/>
                <w:szCs w:val="22"/>
              </w:rPr>
              <w:t>responsável pelo monitoramento, tratamento de eventos e alertas de redes, pelos atendimentos de 1º e 2º nível e especializado em redes junto às unidades da CAIXA e parceiros.</w:t>
            </w:r>
          </w:p>
        </w:tc>
      </w:tr>
      <w:tr w:rsidR="007A7A01" w:rsidRPr="007A7A01" w14:paraId="29D7859E" w14:textId="77777777" w:rsidTr="5C666337">
        <w:trPr>
          <w:trHeight w:val="20"/>
          <w:jc w:val="center"/>
        </w:trPr>
        <w:tc>
          <w:tcPr>
            <w:tcW w:w="1047" w:type="pct"/>
            <w:shd w:val="clear" w:color="auto" w:fill="4472C4" w:themeFill="accent1"/>
            <w:vAlign w:val="center"/>
          </w:tcPr>
          <w:p w14:paraId="38BB0F2C" w14:textId="3085917D" w:rsidR="00627C88"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CHAMADO (OU REQUISIÇÃO DE SERVIÇO)</w:t>
            </w:r>
          </w:p>
        </w:tc>
        <w:tc>
          <w:tcPr>
            <w:tcW w:w="3953" w:type="pct"/>
            <w:vAlign w:val="center"/>
          </w:tcPr>
          <w:p w14:paraId="7B41E412" w14:textId="186E1E58" w:rsidR="00627C88" w:rsidRPr="007A7A01" w:rsidRDefault="00DF061E" w:rsidP="007A7A01">
            <w:pPr>
              <w:widowControl w:val="0"/>
              <w:spacing w:before="120" w:after="120"/>
              <w:rPr>
                <w:rFonts w:asciiTheme="majorHAnsi" w:hAnsiTheme="majorHAnsi" w:cstheme="majorHAnsi"/>
                <w:color w:val="000000"/>
                <w:sz w:val="22"/>
                <w:szCs w:val="22"/>
              </w:rPr>
            </w:pPr>
            <w:r w:rsidRPr="007A7A01">
              <w:rPr>
                <w:rFonts w:asciiTheme="majorHAnsi" w:hAnsiTheme="majorHAnsi" w:cstheme="majorHAnsi"/>
                <w:color w:val="000000"/>
                <w:sz w:val="22"/>
                <w:szCs w:val="22"/>
              </w:rPr>
              <w:t>Solicitação de atendimento originada por usuário demandante no SIGSC ou outra ferramenta que a CAIXA definir.</w:t>
            </w:r>
          </w:p>
        </w:tc>
      </w:tr>
      <w:tr w:rsidR="007A7A01" w:rsidRPr="007A7A01" w14:paraId="48FBF3CA" w14:textId="77777777" w:rsidTr="5C666337">
        <w:trPr>
          <w:trHeight w:val="20"/>
          <w:jc w:val="center"/>
        </w:trPr>
        <w:tc>
          <w:tcPr>
            <w:tcW w:w="1047" w:type="pct"/>
            <w:shd w:val="clear" w:color="auto" w:fill="4472C4" w:themeFill="accent1"/>
            <w:vAlign w:val="center"/>
          </w:tcPr>
          <w:p w14:paraId="6A43878C" w14:textId="08463230" w:rsidR="00517CAD"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CIAUS</w:t>
            </w:r>
          </w:p>
          <w:p w14:paraId="3BB40756" w14:textId="035A8EED" w:rsidR="00517CAD" w:rsidRPr="00600DEC" w:rsidRDefault="007A7A01" w:rsidP="00600DEC">
            <w:pPr>
              <w:widowControl w:val="0"/>
              <w:spacing w:before="120" w:after="120"/>
              <w:jc w:val="center"/>
              <w:rPr>
                <w:rFonts w:asciiTheme="majorHAnsi" w:hAnsiTheme="majorHAnsi" w:cstheme="majorHAnsi"/>
                <w:b/>
                <w:color w:val="FFFFFF" w:themeColor="background1"/>
                <w:sz w:val="24"/>
                <w:szCs w:val="24"/>
                <w:highlight w:val="yellow"/>
              </w:rPr>
            </w:pPr>
            <w:r w:rsidRPr="00600DEC">
              <w:rPr>
                <w:rFonts w:asciiTheme="majorHAnsi" w:hAnsiTheme="majorHAnsi" w:cstheme="majorHAnsi"/>
                <w:b/>
                <w:color w:val="FFFFFF" w:themeColor="background1"/>
                <w:sz w:val="24"/>
                <w:szCs w:val="24"/>
              </w:rPr>
              <w:t xml:space="preserve">CENTRALIZADORA REGIONAL </w:t>
            </w:r>
            <w:r w:rsidRPr="00600DEC">
              <w:rPr>
                <w:rFonts w:asciiTheme="majorHAnsi" w:hAnsiTheme="majorHAnsi" w:cstheme="majorHAnsi"/>
                <w:b/>
                <w:color w:val="FFFFFF" w:themeColor="background1"/>
                <w:sz w:val="24"/>
                <w:szCs w:val="24"/>
              </w:rPr>
              <w:lastRenderedPageBreak/>
              <w:t>SERVIÇOS USUÁRIOS TI</w:t>
            </w:r>
          </w:p>
        </w:tc>
        <w:tc>
          <w:tcPr>
            <w:tcW w:w="3953" w:type="pct"/>
            <w:vAlign w:val="center"/>
          </w:tcPr>
          <w:p w14:paraId="048A4EC1" w14:textId="5B7A1E77" w:rsidR="00517CAD" w:rsidRPr="007A7A01" w:rsidRDefault="00517CAD"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lastRenderedPageBreak/>
              <w:t xml:space="preserve">Unidades </w:t>
            </w:r>
            <w:r w:rsidR="0030556E" w:rsidRPr="007A7A01">
              <w:rPr>
                <w:rFonts w:asciiTheme="majorHAnsi" w:hAnsiTheme="majorHAnsi" w:cstheme="majorHAnsi"/>
                <w:sz w:val="22"/>
                <w:szCs w:val="22"/>
              </w:rPr>
              <w:t xml:space="preserve">Administrativa da </w:t>
            </w:r>
            <w:r w:rsidRPr="007A7A01">
              <w:rPr>
                <w:rFonts w:asciiTheme="majorHAnsi" w:hAnsiTheme="majorHAnsi" w:cstheme="majorHAnsi"/>
                <w:sz w:val="22"/>
                <w:szCs w:val="22"/>
              </w:rPr>
              <w:t>CAIXA responsáve</w:t>
            </w:r>
            <w:r w:rsidR="0053568B" w:rsidRPr="007A7A01">
              <w:rPr>
                <w:rFonts w:asciiTheme="majorHAnsi" w:hAnsiTheme="majorHAnsi" w:cstheme="majorHAnsi"/>
                <w:sz w:val="22"/>
                <w:szCs w:val="22"/>
              </w:rPr>
              <w:t>is</w:t>
            </w:r>
            <w:r w:rsidRPr="007A7A01">
              <w:rPr>
                <w:rFonts w:asciiTheme="majorHAnsi" w:hAnsiTheme="majorHAnsi" w:cstheme="majorHAnsi"/>
                <w:sz w:val="22"/>
                <w:szCs w:val="22"/>
              </w:rPr>
              <w:t xml:space="preserve"> pela gestão de serviços tecnológicos de hardware, software e telecomunicação; e atendimento técnico especializado aos recursos de hardware e software utilizados pelos usuários de TI</w:t>
            </w:r>
            <w:r w:rsidR="00C9693C" w:rsidRPr="007A7A01">
              <w:rPr>
                <w:rFonts w:asciiTheme="majorHAnsi" w:hAnsiTheme="majorHAnsi" w:cstheme="majorHAnsi"/>
                <w:sz w:val="22"/>
                <w:szCs w:val="22"/>
              </w:rPr>
              <w:t xml:space="preserve">, </w:t>
            </w:r>
            <w:r w:rsidRPr="007A7A01">
              <w:rPr>
                <w:rFonts w:asciiTheme="majorHAnsi" w:hAnsiTheme="majorHAnsi" w:cstheme="majorHAnsi"/>
                <w:sz w:val="22"/>
                <w:szCs w:val="22"/>
              </w:rPr>
              <w:t>canais e</w:t>
            </w:r>
            <w:r w:rsidR="00C9693C" w:rsidRPr="007A7A01">
              <w:rPr>
                <w:rFonts w:asciiTheme="majorHAnsi" w:hAnsiTheme="majorHAnsi" w:cstheme="majorHAnsi"/>
                <w:sz w:val="22"/>
                <w:szCs w:val="22"/>
              </w:rPr>
              <w:t xml:space="preserve"> Telecom</w:t>
            </w:r>
            <w:r w:rsidR="00252946" w:rsidRPr="007A7A01">
              <w:rPr>
                <w:rFonts w:asciiTheme="majorHAnsi" w:hAnsiTheme="majorHAnsi" w:cstheme="majorHAnsi"/>
                <w:sz w:val="22"/>
                <w:szCs w:val="22"/>
              </w:rPr>
              <w:t>u</w:t>
            </w:r>
            <w:r w:rsidR="00C9693C" w:rsidRPr="007A7A01">
              <w:rPr>
                <w:rFonts w:asciiTheme="majorHAnsi" w:hAnsiTheme="majorHAnsi" w:cstheme="majorHAnsi"/>
                <w:sz w:val="22"/>
                <w:szCs w:val="22"/>
              </w:rPr>
              <w:t xml:space="preserve">nicações </w:t>
            </w:r>
            <w:r w:rsidR="00252946" w:rsidRPr="007A7A01">
              <w:rPr>
                <w:rFonts w:asciiTheme="majorHAnsi" w:hAnsiTheme="majorHAnsi" w:cstheme="majorHAnsi"/>
                <w:sz w:val="22"/>
                <w:szCs w:val="22"/>
              </w:rPr>
              <w:t>e</w:t>
            </w:r>
            <w:r w:rsidRPr="007A7A01">
              <w:rPr>
                <w:rFonts w:asciiTheme="majorHAnsi" w:hAnsiTheme="majorHAnsi" w:cstheme="majorHAnsi"/>
                <w:sz w:val="22"/>
                <w:szCs w:val="22"/>
              </w:rPr>
              <w:t>m sua área de abrangência.</w:t>
            </w:r>
          </w:p>
        </w:tc>
      </w:tr>
      <w:tr w:rsidR="007A7A01" w:rsidRPr="007A7A01" w14:paraId="12AD09A8" w14:textId="77777777" w:rsidTr="5C666337">
        <w:trPr>
          <w:trHeight w:val="20"/>
          <w:jc w:val="center"/>
        </w:trPr>
        <w:tc>
          <w:tcPr>
            <w:tcW w:w="1047" w:type="pct"/>
            <w:shd w:val="clear" w:color="auto" w:fill="4472C4" w:themeFill="accent1"/>
            <w:vAlign w:val="center"/>
          </w:tcPr>
          <w:p w14:paraId="1C56BBB0" w14:textId="2E6E875A" w:rsidR="006720AB"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CMDB – CONFIGURATION MANAGEMENT DATA BASE (BANCO DE DADOS DE GERÊNCIA DA CONFIGURAÇÃO)</w:t>
            </w:r>
          </w:p>
        </w:tc>
        <w:tc>
          <w:tcPr>
            <w:tcW w:w="3953" w:type="pct"/>
            <w:vAlign w:val="center"/>
          </w:tcPr>
          <w:p w14:paraId="466B0509" w14:textId="4AF77C12" w:rsidR="006720AB" w:rsidRPr="007A7A01" w:rsidRDefault="000E0E58" w:rsidP="007A7A01">
            <w:pPr>
              <w:widowControl w:val="0"/>
              <w:spacing w:before="120" w:after="120"/>
              <w:rPr>
                <w:rFonts w:asciiTheme="majorHAnsi" w:hAnsiTheme="majorHAnsi" w:cstheme="majorHAnsi"/>
                <w:bCs/>
                <w:sz w:val="22"/>
                <w:szCs w:val="22"/>
              </w:rPr>
            </w:pPr>
            <w:r w:rsidRPr="007A7A01">
              <w:rPr>
                <w:rFonts w:asciiTheme="majorHAnsi" w:hAnsiTheme="majorHAnsi" w:cstheme="majorHAnsi"/>
                <w:bCs/>
                <w:sz w:val="22"/>
                <w:szCs w:val="22"/>
              </w:rPr>
              <w:t>Um banco de dados que contém todos os detalhes relevantes de cada Item de Configuração e detalhes dos relacionamentos importantes entre eles.</w:t>
            </w:r>
          </w:p>
        </w:tc>
      </w:tr>
      <w:tr w:rsidR="007A7A01" w:rsidRPr="007A7A01" w14:paraId="07F6A38B" w14:textId="77777777" w:rsidTr="5C666337">
        <w:trPr>
          <w:trHeight w:val="20"/>
          <w:jc w:val="center"/>
        </w:trPr>
        <w:tc>
          <w:tcPr>
            <w:tcW w:w="1047" w:type="pct"/>
            <w:shd w:val="clear" w:color="auto" w:fill="4472C4" w:themeFill="accent1"/>
            <w:vAlign w:val="center"/>
          </w:tcPr>
          <w:p w14:paraId="25C4FA04" w14:textId="5CFBAFF9" w:rsidR="00517CAD"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CORRESPONDENTES BANCÁRIOS</w:t>
            </w:r>
          </w:p>
        </w:tc>
        <w:tc>
          <w:tcPr>
            <w:tcW w:w="3953" w:type="pct"/>
            <w:vAlign w:val="center"/>
          </w:tcPr>
          <w:p w14:paraId="10B84333" w14:textId="3CF4F512" w:rsidR="00517CAD" w:rsidRPr="007A7A01" w:rsidRDefault="00517CAD"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Empresa contratada pela C</w:t>
            </w:r>
            <w:r w:rsidR="00CA6A04" w:rsidRPr="007A7A01">
              <w:rPr>
                <w:rFonts w:asciiTheme="majorHAnsi" w:hAnsiTheme="majorHAnsi" w:cstheme="majorHAnsi"/>
                <w:sz w:val="22"/>
                <w:szCs w:val="22"/>
              </w:rPr>
              <w:t>AIXA</w:t>
            </w:r>
            <w:r w:rsidRPr="007A7A01">
              <w:rPr>
                <w:rFonts w:asciiTheme="majorHAnsi" w:hAnsiTheme="majorHAnsi" w:cstheme="majorHAnsi"/>
                <w:sz w:val="22"/>
                <w:szCs w:val="22"/>
              </w:rPr>
              <w:t>, para prestar serviços à comunidade em seu nome, com critérios por ela estabelecidos;</w:t>
            </w:r>
          </w:p>
        </w:tc>
      </w:tr>
      <w:tr w:rsidR="007A7A01" w:rsidRPr="007A7A01" w14:paraId="3B92EED2" w14:textId="77777777" w:rsidTr="5C666337">
        <w:trPr>
          <w:trHeight w:val="20"/>
          <w:jc w:val="center"/>
        </w:trPr>
        <w:tc>
          <w:tcPr>
            <w:tcW w:w="1047" w:type="pct"/>
            <w:shd w:val="clear" w:color="auto" w:fill="4472C4" w:themeFill="accent1"/>
            <w:vAlign w:val="center"/>
          </w:tcPr>
          <w:p w14:paraId="34F83C92" w14:textId="6858F700" w:rsidR="00FA1C55"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EC – ESTAÇÃO DE CAPTURA</w:t>
            </w:r>
          </w:p>
        </w:tc>
        <w:tc>
          <w:tcPr>
            <w:tcW w:w="3953" w:type="pct"/>
            <w:vAlign w:val="center"/>
          </w:tcPr>
          <w:p w14:paraId="32387951" w14:textId="278E5D3B" w:rsidR="00FA1C55" w:rsidRPr="007A7A01" w:rsidRDefault="001D2BA5"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Microcomputador com processador compatível com a arquitetura x86, e seus periféricos (teclado, mouse, monitor e fonte), acompanhado de equipamento de digitalização de imagem.</w:t>
            </w:r>
          </w:p>
        </w:tc>
      </w:tr>
      <w:tr w:rsidR="007A7A01" w:rsidRPr="007A7A01" w14:paraId="0D64FF53" w14:textId="77777777" w:rsidTr="5C666337">
        <w:trPr>
          <w:trHeight w:val="20"/>
          <w:jc w:val="center"/>
        </w:trPr>
        <w:tc>
          <w:tcPr>
            <w:tcW w:w="1047" w:type="pct"/>
            <w:shd w:val="clear" w:color="auto" w:fill="4472C4" w:themeFill="accent1"/>
            <w:vAlign w:val="center"/>
          </w:tcPr>
          <w:p w14:paraId="2D04DB12" w14:textId="6E03D2FD" w:rsidR="00FA1C55"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EF – ESTAÇÃO FINANCEIRA</w:t>
            </w:r>
          </w:p>
        </w:tc>
        <w:tc>
          <w:tcPr>
            <w:tcW w:w="3953" w:type="pct"/>
            <w:vAlign w:val="center"/>
          </w:tcPr>
          <w:p w14:paraId="2E54FC6F" w14:textId="5D09B155" w:rsidR="00FA1C55" w:rsidRPr="007A7A01" w:rsidRDefault="00283112"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M</w:t>
            </w:r>
            <w:r w:rsidR="00E05F7A" w:rsidRPr="007A7A01">
              <w:rPr>
                <w:rFonts w:asciiTheme="majorHAnsi" w:hAnsiTheme="majorHAnsi" w:cstheme="majorHAnsi"/>
                <w:sz w:val="22"/>
                <w:szCs w:val="22"/>
              </w:rPr>
              <w:t>icrocomputador com processador compatível com a arquitetura x86, e seus periféricos (teclado, mouse, monitor e fonte), utilizado na realização de transações no SISAG.</w:t>
            </w:r>
          </w:p>
        </w:tc>
      </w:tr>
      <w:tr w:rsidR="007A7A01" w:rsidRPr="007A7A01" w14:paraId="2796237E" w14:textId="77777777" w:rsidTr="5C666337">
        <w:trPr>
          <w:trHeight w:val="20"/>
          <w:jc w:val="center"/>
        </w:trPr>
        <w:tc>
          <w:tcPr>
            <w:tcW w:w="1047" w:type="pct"/>
            <w:shd w:val="clear" w:color="auto" w:fill="4472C4" w:themeFill="accent1"/>
            <w:vAlign w:val="center"/>
          </w:tcPr>
          <w:p w14:paraId="4ABB8941" w14:textId="678205E4" w:rsidR="00BF3A64"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EMPRESÁRIO LOTÉRICO</w:t>
            </w:r>
          </w:p>
        </w:tc>
        <w:tc>
          <w:tcPr>
            <w:tcW w:w="3953" w:type="pct"/>
            <w:vAlign w:val="center"/>
          </w:tcPr>
          <w:p w14:paraId="178D6CDD" w14:textId="0B1A0EF4" w:rsidR="00BF3A64" w:rsidRPr="007A7A01" w:rsidRDefault="00BF3A64"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Denominação utilizada pela CAIXA para definir a pessoa física proprietária ou que possua participação societária na permissionária.</w:t>
            </w:r>
          </w:p>
        </w:tc>
      </w:tr>
      <w:tr w:rsidR="007A7A01" w:rsidRPr="007A7A01" w14:paraId="0FEFAC1D" w14:textId="77777777" w:rsidTr="5C666337">
        <w:trPr>
          <w:trHeight w:val="20"/>
          <w:jc w:val="center"/>
        </w:trPr>
        <w:tc>
          <w:tcPr>
            <w:tcW w:w="1047" w:type="pct"/>
            <w:shd w:val="clear" w:color="auto" w:fill="4472C4" w:themeFill="accent1"/>
            <w:vAlign w:val="center"/>
          </w:tcPr>
          <w:p w14:paraId="6018A0D2" w14:textId="49FE0C88" w:rsidR="00BF3A64"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ET – ESTAÇÃO DE TRABALHO</w:t>
            </w:r>
          </w:p>
        </w:tc>
        <w:tc>
          <w:tcPr>
            <w:tcW w:w="3953" w:type="pct"/>
            <w:vAlign w:val="center"/>
          </w:tcPr>
          <w:p w14:paraId="2BDE7307" w14:textId="29192336" w:rsidR="00BF3A64" w:rsidRPr="007A7A01" w:rsidRDefault="00BF3A64"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Microcomputador com processador compatível com a arquitetura x86, e seus periféricos (teclado, mouse, monitor e fonte), instalado com sistema operacional apropriado, utilizado na CAIXA por usuários autorizados.</w:t>
            </w:r>
          </w:p>
        </w:tc>
      </w:tr>
      <w:tr w:rsidR="007A7A01" w:rsidRPr="007A7A01" w14:paraId="07EE7F9A" w14:textId="77777777" w:rsidTr="5C666337">
        <w:trPr>
          <w:trHeight w:val="20"/>
          <w:jc w:val="center"/>
        </w:trPr>
        <w:tc>
          <w:tcPr>
            <w:tcW w:w="1047" w:type="pct"/>
            <w:shd w:val="clear" w:color="auto" w:fill="4472C4" w:themeFill="accent1"/>
            <w:vAlign w:val="center"/>
          </w:tcPr>
          <w:p w14:paraId="1BECBED3" w14:textId="7DEB1853" w:rsidR="00BF3A64"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EDI</w:t>
            </w:r>
          </w:p>
        </w:tc>
        <w:tc>
          <w:tcPr>
            <w:tcW w:w="3953" w:type="pct"/>
            <w:vAlign w:val="center"/>
          </w:tcPr>
          <w:p w14:paraId="64616863" w14:textId="58401D09" w:rsidR="00BF3A64" w:rsidRPr="007A7A01" w:rsidRDefault="00BF3A64"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Eletronic Data Interchange – Troca Eletrônica de Dados</w:t>
            </w:r>
            <w:r w:rsidR="00D7775F" w:rsidRPr="007A7A01">
              <w:rPr>
                <w:rFonts w:asciiTheme="majorHAnsi" w:hAnsiTheme="majorHAnsi" w:cstheme="majorHAnsi"/>
                <w:sz w:val="22"/>
                <w:szCs w:val="22"/>
              </w:rPr>
              <w:t>.</w:t>
            </w:r>
          </w:p>
        </w:tc>
      </w:tr>
      <w:tr w:rsidR="007A7A01" w:rsidRPr="007A7A01" w14:paraId="19E82B94" w14:textId="77777777" w:rsidTr="5C666337">
        <w:trPr>
          <w:trHeight w:val="20"/>
          <w:jc w:val="center"/>
        </w:trPr>
        <w:tc>
          <w:tcPr>
            <w:tcW w:w="1047" w:type="pct"/>
            <w:shd w:val="clear" w:color="auto" w:fill="4472C4" w:themeFill="accent1"/>
            <w:vAlign w:val="center"/>
          </w:tcPr>
          <w:p w14:paraId="6E4F7E40" w14:textId="2E86F912" w:rsidR="00BF3A64" w:rsidRPr="00600DEC" w:rsidRDefault="00396C2C" w:rsidP="00600DEC">
            <w:pPr>
              <w:widowControl w:val="0"/>
              <w:spacing w:before="120" w:after="120"/>
              <w:jc w:val="center"/>
              <w:rPr>
                <w:rFonts w:asciiTheme="majorHAnsi" w:hAnsiTheme="majorHAnsi" w:cstheme="majorHAnsi"/>
                <w:b/>
                <w:color w:val="FFFFFF" w:themeColor="background1"/>
                <w:sz w:val="24"/>
                <w:szCs w:val="24"/>
              </w:rPr>
            </w:pPr>
            <w:r>
              <w:rPr>
                <w:rFonts w:asciiTheme="majorHAnsi" w:hAnsiTheme="majorHAnsi" w:cstheme="majorHAnsi"/>
                <w:b/>
                <w:color w:val="FFFFFF" w:themeColor="background1"/>
                <w:sz w:val="24"/>
                <w:szCs w:val="24"/>
              </w:rPr>
              <w:t xml:space="preserve">GESTÃO DE RECURSOS </w:t>
            </w:r>
            <w:r w:rsidR="00EF1175">
              <w:rPr>
                <w:rFonts w:asciiTheme="majorHAnsi" w:hAnsiTheme="majorHAnsi" w:cstheme="majorHAnsi"/>
                <w:b/>
                <w:color w:val="FFFFFF" w:themeColor="background1"/>
                <w:sz w:val="24"/>
                <w:szCs w:val="24"/>
              </w:rPr>
              <w:t xml:space="preserve">DE </w:t>
            </w:r>
            <w:r w:rsidR="007A7A01" w:rsidRPr="00600DEC">
              <w:rPr>
                <w:rFonts w:asciiTheme="majorHAnsi" w:hAnsiTheme="majorHAnsi" w:cstheme="majorHAnsi"/>
                <w:b/>
                <w:color w:val="FFFFFF" w:themeColor="background1"/>
                <w:sz w:val="24"/>
                <w:szCs w:val="24"/>
              </w:rPr>
              <w:t>EVENTO</w:t>
            </w:r>
            <w:r w:rsidR="00EF1175">
              <w:rPr>
                <w:rFonts w:asciiTheme="majorHAnsi" w:hAnsiTheme="majorHAnsi" w:cstheme="majorHAnsi"/>
                <w:b/>
                <w:color w:val="FFFFFF" w:themeColor="background1"/>
                <w:sz w:val="24"/>
                <w:szCs w:val="24"/>
              </w:rPr>
              <w:t>S</w:t>
            </w:r>
          </w:p>
        </w:tc>
        <w:tc>
          <w:tcPr>
            <w:tcW w:w="3953" w:type="pct"/>
            <w:vAlign w:val="center"/>
          </w:tcPr>
          <w:p w14:paraId="7AAB54FB" w14:textId="77777777" w:rsidR="00BF3A64" w:rsidRPr="007A7A01" w:rsidRDefault="00BF3A64"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Uma mudança de estado que possui significado para o gerenciamento de um item de configuração ou serviço de TI. Evento também é o termo usado para quando um alerta ou notificação é criado por qualquer serviço de TI, item de configuração ou ferramenta de monitoração. Eventos geralmente requerem uma ação da equipe de operações de TI e às vezes podem levar à geração e registro de incidentes.</w:t>
            </w:r>
          </w:p>
        </w:tc>
      </w:tr>
      <w:tr w:rsidR="007A7A01" w:rsidRPr="007A7A01" w14:paraId="09354027" w14:textId="77777777" w:rsidTr="5C666337">
        <w:trPr>
          <w:trHeight w:val="20"/>
          <w:jc w:val="center"/>
        </w:trPr>
        <w:tc>
          <w:tcPr>
            <w:tcW w:w="1047" w:type="pct"/>
            <w:shd w:val="clear" w:color="auto" w:fill="4472C4" w:themeFill="accent1"/>
            <w:vAlign w:val="center"/>
          </w:tcPr>
          <w:p w14:paraId="7ADC931F" w14:textId="5DC3CE0A" w:rsidR="00BF3A64"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FERRAMENTA CAIXA DE CONTROLE E GESTÃO</w:t>
            </w:r>
          </w:p>
        </w:tc>
        <w:tc>
          <w:tcPr>
            <w:tcW w:w="3953" w:type="pct"/>
            <w:vAlign w:val="center"/>
          </w:tcPr>
          <w:p w14:paraId="7B04FB9A" w14:textId="77777777" w:rsidR="00BF3A64" w:rsidRPr="007A7A01" w:rsidRDefault="00BF3A64"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Conjunto de ferramentas desenvolvidas pela CAIXA para controle, gestão e acompanhamento estatístico dos atendimentos, relatórios gerenciais, níveis de serviços, movimentação de equipamentos, cálculos de multas e glosas e processamento do faturamento dos períodos.</w:t>
            </w:r>
          </w:p>
        </w:tc>
      </w:tr>
      <w:tr w:rsidR="007A7A01" w:rsidRPr="007A7A01" w14:paraId="2B591D20" w14:textId="77777777" w:rsidTr="5C666337">
        <w:trPr>
          <w:trHeight w:val="20"/>
          <w:jc w:val="center"/>
        </w:trPr>
        <w:tc>
          <w:tcPr>
            <w:tcW w:w="1047" w:type="pct"/>
            <w:shd w:val="clear" w:color="auto" w:fill="4472C4" w:themeFill="accent1"/>
            <w:vAlign w:val="center"/>
          </w:tcPr>
          <w:p w14:paraId="5AEADFB9" w14:textId="71695A99" w:rsidR="00BF3A64"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FISE</w:t>
            </w:r>
          </w:p>
        </w:tc>
        <w:tc>
          <w:tcPr>
            <w:tcW w:w="3953" w:type="pct"/>
            <w:vAlign w:val="center"/>
          </w:tcPr>
          <w:p w14:paraId="7F95A7F3" w14:textId="13FD2647" w:rsidR="00BF3A64" w:rsidRPr="007A7A01" w:rsidRDefault="00BF3A64"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Ficha de Inclusão/Alteração/Exclusão de Serviços Eletrônicos - Formulário utilizado para solicitar serviços a VAN;</w:t>
            </w:r>
          </w:p>
        </w:tc>
      </w:tr>
      <w:tr w:rsidR="007A7A01" w:rsidRPr="007A7A01" w14:paraId="7EC21D92" w14:textId="77777777" w:rsidTr="5C666337">
        <w:trPr>
          <w:trHeight w:val="20"/>
          <w:jc w:val="center"/>
        </w:trPr>
        <w:tc>
          <w:tcPr>
            <w:tcW w:w="1047" w:type="pct"/>
            <w:shd w:val="clear" w:color="auto" w:fill="4472C4" w:themeFill="accent1"/>
            <w:vAlign w:val="center"/>
          </w:tcPr>
          <w:p w14:paraId="14BF143E" w14:textId="22BBD014" w:rsidR="00BF3A64"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GESTÃO OPERACIONAL</w:t>
            </w:r>
          </w:p>
        </w:tc>
        <w:tc>
          <w:tcPr>
            <w:tcW w:w="3953" w:type="pct"/>
            <w:vAlign w:val="center"/>
          </w:tcPr>
          <w:p w14:paraId="01784A2C" w14:textId="77777777" w:rsidR="00BF3A64" w:rsidRPr="007A7A01" w:rsidRDefault="00BF3A64"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É a gestão realizada pela unidade gestora operacional do contrato, para o controle, acompanhamento do contrato, no que se refere à qualidade na prestação dos serviços/fornecimentos dos bens, tais como a verificação no cumprimento das cláusulas avençadas, a resolução de problemas relativos à execução do contrato, a solicitação de aplicação de multas e outras penalidades, a conferência e o ateste de notas fiscais, o acompanhamento da evolução orçamentária e demais procedimentos relacionados à execução contratual.</w:t>
            </w:r>
          </w:p>
        </w:tc>
      </w:tr>
      <w:tr w:rsidR="007A7A01" w:rsidRPr="007A7A01" w14:paraId="4A469014" w14:textId="77777777" w:rsidTr="5C666337">
        <w:trPr>
          <w:trHeight w:val="20"/>
          <w:jc w:val="center"/>
        </w:trPr>
        <w:tc>
          <w:tcPr>
            <w:tcW w:w="1047" w:type="pct"/>
            <w:shd w:val="clear" w:color="auto" w:fill="4472C4" w:themeFill="accent1"/>
            <w:vAlign w:val="center"/>
          </w:tcPr>
          <w:p w14:paraId="77F574F4" w14:textId="0225F3BB" w:rsidR="00BF3A64"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IC - ITENS DE CONFIGURAÇÃO</w:t>
            </w:r>
          </w:p>
        </w:tc>
        <w:tc>
          <w:tcPr>
            <w:tcW w:w="3953" w:type="pct"/>
            <w:vAlign w:val="center"/>
          </w:tcPr>
          <w:p w14:paraId="1E94B73E" w14:textId="4B7CAD8D" w:rsidR="00BF3A64" w:rsidRPr="007A7A01" w:rsidRDefault="00BF3A64"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Qualquer componente ou outro ativo de serviço que precise ser gerenciado de forma a entregar um serviço de TI. As informações sobre cada item de configuração são registradas no banco de dados de Itens Configuração e são mantidas por todo o seu ciclo de vida. Os itens de configuração estão sob o controle do gerenciamento de mudança. Eles incluem tipicamente hardware, software, prédios, pessoas e documentos formais tais como documentação de processos e acordo de nível de serviço.</w:t>
            </w:r>
          </w:p>
        </w:tc>
      </w:tr>
      <w:tr w:rsidR="007A7A01" w:rsidRPr="007A7A01" w14:paraId="04AFAFF1" w14:textId="77777777" w:rsidTr="5C666337">
        <w:trPr>
          <w:trHeight w:val="20"/>
          <w:jc w:val="center"/>
        </w:trPr>
        <w:tc>
          <w:tcPr>
            <w:tcW w:w="1047" w:type="pct"/>
            <w:shd w:val="clear" w:color="auto" w:fill="4472C4" w:themeFill="accent1"/>
            <w:vAlign w:val="center"/>
          </w:tcPr>
          <w:p w14:paraId="70A3BFAA" w14:textId="75EB4C15" w:rsidR="003E2BC4"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INVENTÁRIO FÍSICO</w:t>
            </w:r>
          </w:p>
        </w:tc>
        <w:tc>
          <w:tcPr>
            <w:tcW w:w="3953" w:type="pct"/>
            <w:vAlign w:val="center"/>
          </w:tcPr>
          <w:p w14:paraId="54FCE37A" w14:textId="42449104" w:rsidR="003E2BC4" w:rsidRPr="007A7A01" w:rsidRDefault="00652E11"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 xml:space="preserve">É um processo que consiste no levantamento físico dos imobilizados instalados na </w:t>
            </w:r>
            <w:r w:rsidR="00F673D9" w:rsidRPr="007A7A01">
              <w:rPr>
                <w:rFonts w:asciiTheme="majorHAnsi" w:hAnsiTheme="majorHAnsi" w:cstheme="majorHAnsi"/>
                <w:sz w:val="22"/>
                <w:szCs w:val="22"/>
              </w:rPr>
              <w:t>CAIXA</w:t>
            </w:r>
            <w:r w:rsidRPr="007A7A01">
              <w:rPr>
                <w:rFonts w:asciiTheme="majorHAnsi" w:hAnsiTheme="majorHAnsi" w:cstheme="majorHAnsi"/>
                <w:sz w:val="22"/>
                <w:szCs w:val="22"/>
              </w:rPr>
              <w:t>, na conciliação entre o levantamento físico e a base operacional, na atualização da base operacional via solução SIPGE e tratamento das sobras físicas e contábeis, visando assegurar a acuracidade dos registros patrimoniais.</w:t>
            </w:r>
          </w:p>
        </w:tc>
      </w:tr>
      <w:tr w:rsidR="006F76C3" w:rsidRPr="007A7A01" w14:paraId="74513689" w14:textId="77777777" w:rsidTr="5C666337">
        <w:trPr>
          <w:trHeight w:val="20"/>
          <w:jc w:val="center"/>
        </w:trPr>
        <w:tc>
          <w:tcPr>
            <w:tcW w:w="1047" w:type="pct"/>
            <w:shd w:val="clear" w:color="auto" w:fill="4472C4" w:themeFill="accent1"/>
            <w:vAlign w:val="center"/>
          </w:tcPr>
          <w:p w14:paraId="55DFB8FF" w14:textId="322F8585" w:rsidR="006F76C3" w:rsidRPr="00613365" w:rsidRDefault="009900B5" w:rsidP="5C666337">
            <w:pPr>
              <w:widowControl w:val="0"/>
              <w:spacing w:before="120" w:after="120"/>
              <w:jc w:val="center"/>
              <w:rPr>
                <w:rFonts w:asciiTheme="majorHAnsi" w:hAnsiTheme="majorHAnsi" w:cstheme="majorBidi"/>
                <w:b/>
                <w:bCs/>
                <w:color w:val="FFFFFF" w:themeColor="background1"/>
                <w:sz w:val="24"/>
                <w:szCs w:val="24"/>
              </w:rPr>
            </w:pPr>
            <w:r w:rsidRPr="5C666337">
              <w:rPr>
                <w:rFonts w:asciiTheme="majorHAnsi" w:hAnsiTheme="majorHAnsi" w:cstheme="majorBidi"/>
                <w:b/>
                <w:bCs/>
                <w:color w:val="FFFFFF" w:themeColor="background1"/>
                <w:sz w:val="24"/>
                <w:szCs w:val="24"/>
              </w:rPr>
              <w:t>LABORATÓRIO</w:t>
            </w:r>
          </w:p>
        </w:tc>
        <w:tc>
          <w:tcPr>
            <w:tcW w:w="3953" w:type="pct"/>
            <w:vAlign w:val="center"/>
          </w:tcPr>
          <w:p w14:paraId="02C901A8" w14:textId="71749906" w:rsidR="006F76C3" w:rsidRPr="00613365" w:rsidRDefault="00800EC7" w:rsidP="5C666337">
            <w:pPr>
              <w:widowControl w:val="0"/>
              <w:spacing w:before="120" w:after="120"/>
              <w:rPr>
                <w:rFonts w:asciiTheme="majorHAnsi" w:hAnsiTheme="majorHAnsi" w:cstheme="majorBidi"/>
                <w:sz w:val="22"/>
                <w:szCs w:val="22"/>
              </w:rPr>
            </w:pPr>
            <w:r w:rsidRPr="5C666337">
              <w:rPr>
                <w:rFonts w:asciiTheme="majorHAnsi" w:hAnsiTheme="majorHAnsi" w:cstheme="majorBidi"/>
              </w:rPr>
              <w:t>Ambiente da CAIXA destinado à realização de testes de equipamentos de TI (entrada e saída), configuração (baixa de imagem) e higienização (sanitização de dados);</w:t>
            </w:r>
          </w:p>
        </w:tc>
      </w:tr>
      <w:tr w:rsidR="007A7A01" w:rsidRPr="007A7A01" w14:paraId="4C4F2D9D" w14:textId="77777777" w:rsidTr="5C666337">
        <w:trPr>
          <w:trHeight w:val="20"/>
          <w:jc w:val="center"/>
        </w:trPr>
        <w:tc>
          <w:tcPr>
            <w:tcW w:w="1047" w:type="pct"/>
            <w:shd w:val="clear" w:color="auto" w:fill="4472C4" w:themeFill="accent1"/>
            <w:vAlign w:val="center"/>
          </w:tcPr>
          <w:p w14:paraId="77B9FF10" w14:textId="210FAD3B" w:rsidR="00812A04" w:rsidRPr="00600DEC" w:rsidRDefault="007A7A01" w:rsidP="00812A04">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LOTÉRIC</w:t>
            </w:r>
            <w:r w:rsidR="00812A04">
              <w:rPr>
                <w:rFonts w:asciiTheme="majorHAnsi" w:hAnsiTheme="majorHAnsi" w:cstheme="majorHAnsi"/>
                <w:b/>
                <w:color w:val="FFFFFF" w:themeColor="background1"/>
                <w:sz w:val="24"/>
                <w:szCs w:val="24"/>
              </w:rPr>
              <w:t>O</w:t>
            </w:r>
            <w:r w:rsidR="009900B5">
              <w:rPr>
                <w:rFonts w:asciiTheme="majorHAnsi" w:hAnsiTheme="majorHAnsi" w:cstheme="majorHAnsi"/>
                <w:b/>
                <w:color w:val="FFFFFF" w:themeColor="background1"/>
                <w:sz w:val="24"/>
                <w:szCs w:val="24"/>
              </w:rPr>
              <w:t xml:space="preserve"> (Unidade Lotérica)</w:t>
            </w:r>
          </w:p>
        </w:tc>
        <w:tc>
          <w:tcPr>
            <w:tcW w:w="3953" w:type="pct"/>
            <w:vAlign w:val="center"/>
          </w:tcPr>
          <w:p w14:paraId="357B0A84" w14:textId="7FCE4E38" w:rsidR="00BF3A64" w:rsidRPr="007A7A01" w:rsidRDefault="00791F34"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 xml:space="preserve">Estabelecimento comercial </w:t>
            </w:r>
            <w:r w:rsidR="00D00145" w:rsidRPr="007A7A01">
              <w:rPr>
                <w:rFonts w:asciiTheme="majorHAnsi" w:hAnsiTheme="majorHAnsi" w:cstheme="majorHAnsi"/>
                <w:sz w:val="22"/>
                <w:szCs w:val="22"/>
              </w:rPr>
              <w:t>de pres</w:t>
            </w:r>
            <w:r w:rsidR="00AE33AF" w:rsidRPr="007A7A01">
              <w:rPr>
                <w:rFonts w:asciiTheme="majorHAnsi" w:hAnsiTheme="majorHAnsi" w:cstheme="majorHAnsi"/>
                <w:sz w:val="22"/>
                <w:szCs w:val="22"/>
              </w:rPr>
              <w:t xml:space="preserve">tação de serviços </w:t>
            </w:r>
            <w:r w:rsidR="00750DF9" w:rsidRPr="007A7A01">
              <w:rPr>
                <w:rFonts w:asciiTheme="majorHAnsi" w:hAnsiTheme="majorHAnsi" w:cstheme="majorHAnsi"/>
                <w:sz w:val="22"/>
                <w:szCs w:val="22"/>
              </w:rPr>
              <w:t xml:space="preserve">que comercializa loterias federais e os produtos autorizados, bem como atua na prestação de serviços delegados pela </w:t>
            </w:r>
            <w:r w:rsidR="007F36B5" w:rsidRPr="007A7A01">
              <w:rPr>
                <w:rFonts w:asciiTheme="majorHAnsi" w:hAnsiTheme="majorHAnsi" w:cstheme="majorHAnsi"/>
                <w:sz w:val="22"/>
                <w:szCs w:val="22"/>
              </w:rPr>
              <w:t>Caixa Econômica Federal</w:t>
            </w:r>
            <w:r w:rsidR="00750DF9" w:rsidRPr="007A7A01">
              <w:rPr>
                <w:rFonts w:asciiTheme="majorHAnsi" w:hAnsiTheme="majorHAnsi" w:cstheme="majorHAnsi"/>
                <w:sz w:val="22"/>
                <w:szCs w:val="22"/>
              </w:rPr>
              <w:t>, nos termos e condições definidos pela legislação e normas reguladoras vigentes</w:t>
            </w:r>
            <w:r w:rsidR="00AE33AF" w:rsidRPr="007A7A01">
              <w:rPr>
                <w:rFonts w:asciiTheme="majorHAnsi" w:hAnsiTheme="majorHAnsi" w:cstheme="majorHAnsi"/>
                <w:sz w:val="22"/>
                <w:szCs w:val="22"/>
              </w:rPr>
              <w:t>.</w:t>
            </w:r>
          </w:p>
        </w:tc>
      </w:tr>
      <w:tr w:rsidR="007A7A01" w:rsidRPr="007A7A01" w14:paraId="524251D1" w14:textId="77777777" w:rsidTr="5C666337">
        <w:trPr>
          <w:trHeight w:val="20"/>
          <w:jc w:val="center"/>
        </w:trPr>
        <w:tc>
          <w:tcPr>
            <w:tcW w:w="1047" w:type="pct"/>
            <w:shd w:val="clear" w:color="auto" w:fill="4472C4" w:themeFill="accent1"/>
            <w:vAlign w:val="center"/>
          </w:tcPr>
          <w:p w14:paraId="73A38579" w14:textId="7E1D042F" w:rsidR="00BF3A64"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ORDEM DE TRABALHO</w:t>
            </w:r>
          </w:p>
        </w:tc>
        <w:tc>
          <w:tcPr>
            <w:tcW w:w="3953" w:type="pct"/>
            <w:vAlign w:val="center"/>
          </w:tcPr>
          <w:p w14:paraId="63446778" w14:textId="3B739D3E" w:rsidR="00BF3A64" w:rsidRPr="007A7A01" w:rsidRDefault="00BF3A64"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Ticket de atendimento, na ferramenta denominado Work Order ou apenas WO, no qual serviços são solicitados pelo demandante, através de abertura de requisição na própria ferramenta SIGSC.</w:t>
            </w:r>
          </w:p>
        </w:tc>
      </w:tr>
      <w:tr w:rsidR="007A7A01" w:rsidRPr="007A7A01" w14:paraId="2F5A3F38" w14:textId="77777777" w:rsidTr="5C666337">
        <w:trPr>
          <w:trHeight w:val="20"/>
          <w:jc w:val="center"/>
        </w:trPr>
        <w:tc>
          <w:tcPr>
            <w:tcW w:w="1047" w:type="pct"/>
            <w:shd w:val="clear" w:color="auto" w:fill="4472C4" w:themeFill="accent1"/>
            <w:vAlign w:val="center"/>
          </w:tcPr>
          <w:p w14:paraId="038A5039" w14:textId="1F7884EA" w:rsidR="00BF3A64"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PA – POSTO DE ATENDIMENTO (OU PAB – POSTO DE ATENDIMENTO BANCÁRIO)</w:t>
            </w:r>
          </w:p>
        </w:tc>
        <w:tc>
          <w:tcPr>
            <w:tcW w:w="3953" w:type="pct"/>
            <w:vAlign w:val="center"/>
          </w:tcPr>
          <w:p w14:paraId="6C34597F" w14:textId="6B1F7E36" w:rsidR="00BF3A64" w:rsidRPr="007A7A01" w:rsidRDefault="00326079"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D</w:t>
            </w:r>
            <w:r w:rsidR="00281417" w:rsidRPr="007A7A01">
              <w:rPr>
                <w:rFonts w:asciiTheme="majorHAnsi" w:hAnsiTheme="majorHAnsi" w:cstheme="majorHAnsi"/>
                <w:sz w:val="22"/>
                <w:szCs w:val="22"/>
              </w:rPr>
              <w:t xml:space="preserve">ependência, subordinada </w:t>
            </w:r>
            <w:r w:rsidR="00327214" w:rsidRPr="007A7A01">
              <w:rPr>
                <w:rFonts w:asciiTheme="majorHAnsi" w:hAnsiTheme="majorHAnsi" w:cstheme="majorHAnsi"/>
                <w:sz w:val="22"/>
                <w:szCs w:val="22"/>
              </w:rPr>
              <w:t>à</w:t>
            </w:r>
            <w:r w:rsidR="00281417" w:rsidRPr="007A7A01">
              <w:rPr>
                <w:rFonts w:asciiTheme="majorHAnsi" w:hAnsiTheme="majorHAnsi" w:cstheme="majorHAnsi"/>
                <w:sz w:val="22"/>
                <w:szCs w:val="22"/>
              </w:rPr>
              <w:t xml:space="preserve"> agência ou à sede</w:t>
            </w:r>
            <w:r w:rsidRPr="007A7A01">
              <w:rPr>
                <w:rFonts w:asciiTheme="majorHAnsi" w:hAnsiTheme="majorHAnsi" w:cstheme="majorHAnsi"/>
                <w:sz w:val="22"/>
                <w:szCs w:val="22"/>
              </w:rPr>
              <w:t xml:space="preserve"> </w:t>
            </w:r>
            <w:r w:rsidR="00281417" w:rsidRPr="007A7A01">
              <w:rPr>
                <w:rFonts w:asciiTheme="majorHAnsi" w:hAnsiTheme="majorHAnsi" w:cstheme="majorHAnsi"/>
                <w:sz w:val="22"/>
                <w:szCs w:val="22"/>
              </w:rPr>
              <w:t>da instituição, destinada ao atendimento ao público no exercício de uma ou mais de suas</w:t>
            </w:r>
            <w:r w:rsidRPr="007A7A01">
              <w:rPr>
                <w:rFonts w:asciiTheme="majorHAnsi" w:hAnsiTheme="majorHAnsi" w:cstheme="majorHAnsi"/>
                <w:sz w:val="22"/>
                <w:szCs w:val="22"/>
              </w:rPr>
              <w:t xml:space="preserve"> </w:t>
            </w:r>
            <w:r w:rsidR="00281417" w:rsidRPr="007A7A01">
              <w:rPr>
                <w:rFonts w:asciiTheme="majorHAnsi" w:hAnsiTheme="majorHAnsi" w:cstheme="majorHAnsi"/>
                <w:sz w:val="22"/>
                <w:szCs w:val="22"/>
              </w:rPr>
              <w:t>atividades, podendo ser fixo ou móvel.</w:t>
            </w:r>
          </w:p>
        </w:tc>
      </w:tr>
      <w:tr w:rsidR="007A7A01" w:rsidRPr="007A7A01" w14:paraId="61D16C2D" w14:textId="77777777" w:rsidTr="5C666337">
        <w:trPr>
          <w:trHeight w:val="20"/>
          <w:jc w:val="center"/>
        </w:trPr>
        <w:tc>
          <w:tcPr>
            <w:tcW w:w="1047" w:type="pct"/>
            <w:shd w:val="clear" w:color="auto" w:fill="4472C4" w:themeFill="accent1"/>
            <w:vAlign w:val="center"/>
          </w:tcPr>
          <w:p w14:paraId="7FEB26B8" w14:textId="605E16C2" w:rsidR="00BF3A64"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PAE - POSTO DE ATENDIMENTO BANCÁRIO ELETRÔNICO</w:t>
            </w:r>
          </w:p>
        </w:tc>
        <w:tc>
          <w:tcPr>
            <w:tcW w:w="3953" w:type="pct"/>
            <w:vAlign w:val="center"/>
          </w:tcPr>
          <w:p w14:paraId="7B395727" w14:textId="77777777" w:rsidR="00BF3A64" w:rsidRPr="007A7A01" w:rsidRDefault="00BF3A64"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Dependência automatizada, fixa ou móvel, destinada a prestar serviços de saques, depósitos, pagamentos, saldos, extratos, transferências de fundos e fornecimento de talões de cheques, dentre outros, mediante o uso de senha privativa do cliente. É um PONTO de autoatendimento da CAIXA com uma ou mais ATM instaladas em estabelecimentos comerciais, shopping centers, rodoviárias, aeroportos, ferroviárias e/ou quaisquer outros locais de interesse comercial ou institucional.</w:t>
            </w:r>
          </w:p>
        </w:tc>
      </w:tr>
      <w:tr w:rsidR="007A7A01" w:rsidRPr="007A7A01" w14:paraId="1E5C0AE2" w14:textId="77777777" w:rsidTr="5C666337">
        <w:trPr>
          <w:trHeight w:val="20"/>
          <w:jc w:val="center"/>
        </w:trPr>
        <w:tc>
          <w:tcPr>
            <w:tcW w:w="1047" w:type="pct"/>
            <w:shd w:val="clear" w:color="auto" w:fill="4472C4" w:themeFill="accent1"/>
            <w:vAlign w:val="center"/>
          </w:tcPr>
          <w:p w14:paraId="3A2FE1AD" w14:textId="3FFF8E7D" w:rsidR="00BF3A64"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PARCEIROS</w:t>
            </w:r>
          </w:p>
        </w:tc>
        <w:tc>
          <w:tcPr>
            <w:tcW w:w="3953" w:type="pct"/>
            <w:vAlign w:val="center"/>
          </w:tcPr>
          <w:p w14:paraId="59F16FD4" w14:textId="77777777" w:rsidR="00BF3A64" w:rsidRPr="007A7A01" w:rsidRDefault="00BF3A64"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Lotéricos, Correspondentes CAIXA Aqui, EDI, outros.</w:t>
            </w:r>
          </w:p>
        </w:tc>
      </w:tr>
      <w:tr w:rsidR="007A7A01" w:rsidRPr="007A7A01" w14:paraId="2BFDB09A" w14:textId="77777777" w:rsidTr="5C666337">
        <w:trPr>
          <w:trHeight w:val="20"/>
          <w:jc w:val="center"/>
        </w:trPr>
        <w:tc>
          <w:tcPr>
            <w:tcW w:w="1047" w:type="pct"/>
            <w:shd w:val="clear" w:color="auto" w:fill="4472C4" w:themeFill="accent1"/>
            <w:vAlign w:val="center"/>
          </w:tcPr>
          <w:p w14:paraId="4C1A4509" w14:textId="04A576DB" w:rsidR="00BF3A64"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PBX-IP CAIXA</w:t>
            </w:r>
          </w:p>
        </w:tc>
        <w:tc>
          <w:tcPr>
            <w:tcW w:w="3953" w:type="pct"/>
            <w:vAlign w:val="center"/>
          </w:tcPr>
          <w:p w14:paraId="26D7484E" w14:textId="77777777" w:rsidR="00BF3A64" w:rsidRPr="007A7A01" w:rsidRDefault="00BF3A64"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 xml:space="preserve">Servidor X86 ou superior utilizado para gerenciamento de serviços de telefonia VoIP, contendo placas para solução SPX ou similar, sistema operacional Linux, aplicativos Asterisk e Snep Livre. </w:t>
            </w:r>
          </w:p>
        </w:tc>
      </w:tr>
      <w:tr w:rsidR="007A7A01" w:rsidRPr="007A7A01" w14:paraId="57C1A4FF" w14:textId="77777777" w:rsidTr="5C666337">
        <w:trPr>
          <w:trHeight w:val="20"/>
          <w:jc w:val="center"/>
        </w:trPr>
        <w:tc>
          <w:tcPr>
            <w:tcW w:w="1047" w:type="pct"/>
            <w:shd w:val="clear" w:color="auto" w:fill="4472C4" w:themeFill="accent1"/>
            <w:vAlign w:val="center"/>
          </w:tcPr>
          <w:p w14:paraId="5EB95CCE" w14:textId="13436E9E" w:rsidR="00BF3A64"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PCD</w:t>
            </w:r>
          </w:p>
        </w:tc>
        <w:tc>
          <w:tcPr>
            <w:tcW w:w="3953" w:type="pct"/>
            <w:vAlign w:val="center"/>
          </w:tcPr>
          <w:p w14:paraId="082A3F0E" w14:textId="4B43A820" w:rsidR="00BF3A64" w:rsidRPr="007A7A01" w:rsidRDefault="00BF3A64"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 xml:space="preserve">Pessoa Com Deficiência </w:t>
            </w:r>
            <w:r w:rsidR="00E239B8" w:rsidRPr="007A7A01">
              <w:rPr>
                <w:rFonts w:asciiTheme="majorHAnsi" w:hAnsiTheme="majorHAnsi" w:cstheme="majorHAnsi"/>
                <w:sz w:val="22"/>
                <w:szCs w:val="22"/>
              </w:rPr>
              <w:t xml:space="preserve">é </w:t>
            </w:r>
            <w:r w:rsidR="004453C6" w:rsidRPr="007A7A01">
              <w:rPr>
                <w:rFonts w:asciiTheme="majorHAnsi" w:hAnsiTheme="majorHAnsi" w:cstheme="majorHAnsi"/>
                <w:sz w:val="22"/>
                <w:szCs w:val="22"/>
              </w:rPr>
              <w:t>aquela que tem impedimento de longo prazo de natureza física, mental, intelectual ou sensorial, o qual, em interação com uma ou mais barreiras, pode obstruir sua participação plena e efetiva na sociedade em igualdade de condições com as demais pesso</w:t>
            </w:r>
            <w:r w:rsidR="001D0161" w:rsidRPr="007A7A01">
              <w:rPr>
                <w:rFonts w:asciiTheme="majorHAnsi" w:hAnsiTheme="majorHAnsi" w:cstheme="majorHAnsi"/>
                <w:sz w:val="22"/>
                <w:szCs w:val="22"/>
              </w:rPr>
              <w:t>as.</w:t>
            </w:r>
          </w:p>
        </w:tc>
      </w:tr>
      <w:tr w:rsidR="007A7A01" w:rsidRPr="007A7A01" w14:paraId="17294A39" w14:textId="77777777" w:rsidTr="5C666337">
        <w:trPr>
          <w:trHeight w:val="20"/>
          <w:jc w:val="center"/>
        </w:trPr>
        <w:tc>
          <w:tcPr>
            <w:tcW w:w="1047" w:type="pct"/>
            <w:shd w:val="clear" w:color="auto" w:fill="4472C4" w:themeFill="accent1"/>
            <w:vAlign w:val="center"/>
          </w:tcPr>
          <w:p w14:paraId="3E6CDCBC" w14:textId="5AC37EE7" w:rsidR="00BF3A64"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PERÍODO DE FATURAMENTO</w:t>
            </w:r>
          </w:p>
        </w:tc>
        <w:tc>
          <w:tcPr>
            <w:tcW w:w="3953" w:type="pct"/>
            <w:vAlign w:val="center"/>
          </w:tcPr>
          <w:p w14:paraId="715CFB80" w14:textId="77777777" w:rsidR="00BF3A64" w:rsidRPr="007A7A01" w:rsidRDefault="00BF3A64"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Intervalo mensal que se inicia no dia 01 (primeiro) e se encerra no último dia do mês de referência, abrangendo todos os serviços executados com os respectivos níveis de serviço apurados para fins de cálculo do faturamento.</w:t>
            </w:r>
          </w:p>
        </w:tc>
      </w:tr>
      <w:tr w:rsidR="007A7A01" w:rsidRPr="007A7A01" w14:paraId="5B51A549" w14:textId="77777777" w:rsidTr="5C666337">
        <w:trPr>
          <w:trHeight w:val="20"/>
          <w:jc w:val="center"/>
        </w:trPr>
        <w:tc>
          <w:tcPr>
            <w:tcW w:w="1047" w:type="pct"/>
            <w:shd w:val="clear" w:color="auto" w:fill="4472C4" w:themeFill="accent1"/>
            <w:vAlign w:val="center"/>
          </w:tcPr>
          <w:p w14:paraId="261135C4" w14:textId="2433A382" w:rsidR="00BF3A64"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PERMISSIONÁRIA</w:t>
            </w:r>
          </w:p>
        </w:tc>
        <w:tc>
          <w:tcPr>
            <w:tcW w:w="3953" w:type="pct"/>
            <w:vAlign w:val="center"/>
          </w:tcPr>
          <w:p w14:paraId="7D48577F" w14:textId="77777777" w:rsidR="00BF3A64" w:rsidRPr="007A7A01" w:rsidRDefault="00BF3A64"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Empresa autorizada a explorar serviços públicos.</w:t>
            </w:r>
          </w:p>
        </w:tc>
      </w:tr>
      <w:tr w:rsidR="007A7A01" w:rsidRPr="007A7A01" w14:paraId="5F1CF376" w14:textId="77777777" w:rsidTr="5C666337">
        <w:trPr>
          <w:trHeight w:val="732"/>
          <w:jc w:val="center"/>
        </w:trPr>
        <w:tc>
          <w:tcPr>
            <w:tcW w:w="1047" w:type="pct"/>
            <w:shd w:val="clear" w:color="auto" w:fill="4472C4" w:themeFill="accent1"/>
            <w:vAlign w:val="center"/>
          </w:tcPr>
          <w:p w14:paraId="663ECEFD" w14:textId="46398139" w:rsidR="00BF3A64"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PONTO</w:t>
            </w:r>
          </w:p>
        </w:tc>
        <w:tc>
          <w:tcPr>
            <w:tcW w:w="3953" w:type="pct"/>
            <w:vAlign w:val="center"/>
          </w:tcPr>
          <w:p w14:paraId="1297A837" w14:textId="77777777" w:rsidR="00BF3A64" w:rsidRPr="007A7A01" w:rsidRDefault="00BF3A64"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Para efeito desse contrato, entende-se por “PONTO” todo estabelecimento, local ou unidade onde a CAIXA se faça representar.</w:t>
            </w:r>
          </w:p>
        </w:tc>
      </w:tr>
      <w:tr w:rsidR="007A7A01" w:rsidRPr="007A7A01" w14:paraId="643772BD" w14:textId="77777777" w:rsidTr="5C666337">
        <w:trPr>
          <w:trHeight w:val="20"/>
          <w:jc w:val="center"/>
        </w:trPr>
        <w:tc>
          <w:tcPr>
            <w:tcW w:w="1047" w:type="pct"/>
            <w:shd w:val="clear" w:color="auto" w:fill="4472C4" w:themeFill="accent1"/>
            <w:vAlign w:val="center"/>
          </w:tcPr>
          <w:p w14:paraId="74B4D985" w14:textId="12496360" w:rsidR="00BF3A64"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PONTOS EXTERNOS</w:t>
            </w:r>
          </w:p>
        </w:tc>
        <w:tc>
          <w:tcPr>
            <w:tcW w:w="3953" w:type="pct"/>
            <w:vAlign w:val="center"/>
          </w:tcPr>
          <w:p w14:paraId="5909B37C" w14:textId="77777777" w:rsidR="00BF3A64" w:rsidRPr="007A7A01" w:rsidRDefault="00BF3A64" w:rsidP="007A7A01">
            <w:pPr>
              <w:widowControl w:val="0"/>
              <w:spacing w:before="120" w:after="120"/>
              <w:rPr>
                <w:rFonts w:asciiTheme="majorHAnsi" w:hAnsiTheme="majorHAnsi" w:cstheme="majorHAnsi"/>
                <w:sz w:val="22"/>
                <w:szCs w:val="22"/>
              </w:rPr>
            </w:pPr>
            <w:r w:rsidRPr="007A7A01">
              <w:rPr>
                <w:rFonts w:asciiTheme="majorHAnsi" w:hAnsiTheme="majorHAnsi" w:cstheme="majorHAnsi"/>
                <w:bCs/>
                <w:color w:val="000000"/>
                <w:sz w:val="22"/>
                <w:szCs w:val="22"/>
              </w:rPr>
              <w:t>Local externo ao ambiente CAIXA onde constam instalados equipamentos de propriedade da CAIXA.</w:t>
            </w:r>
          </w:p>
        </w:tc>
      </w:tr>
      <w:tr w:rsidR="007A7A01" w:rsidRPr="007A7A01" w14:paraId="0A84BC8E" w14:textId="77777777" w:rsidTr="5C666337">
        <w:trPr>
          <w:trHeight w:val="20"/>
          <w:jc w:val="center"/>
        </w:trPr>
        <w:tc>
          <w:tcPr>
            <w:tcW w:w="1047" w:type="pct"/>
            <w:shd w:val="clear" w:color="auto" w:fill="4472C4" w:themeFill="accent1"/>
            <w:vAlign w:val="center"/>
          </w:tcPr>
          <w:p w14:paraId="1C2E9BE0" w14:textId="09017B1E" w:rsidR="00A7217F"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PONTO EXTERNO MÚLTIPLO</w:t>
            </w:r>
          </w:p>
        </w:tc>
        <w:tc>
          <w:tcPr>
            <w:tcW w:w="3953" w:type="pct"/>
            <w:vAlign w:val="center"/>
          </w:tcPr>
          <w:p w14:paraId="431EAAA1" w14:textId="5D898961" w:rsidR="00A7217F" w:rsidRPr="007A7A01" w:rsidRDefault="00314D96" w:rsidP="007A7A01">
            <w:pPr>
              <w:widowControl w:val="0"/>
              <w:spacing w:before="120" w:after="120"/>
              <w:rPr>
                <w:rFonts w:asciiTheme="majorHAnsi" w:hAnsiTheme="majorHAnsi" w:cstheme="majorHAnsi"/>
                <w:bCs/>
                <w:color w:val="000000"/>
                <w:sz w:val="22"/>
                <w:szCs w:val="22"/>
              </w:rPr>
            </w:pPr>
            <w:r w:rsidRPr="007A7A01">
              <w:rPr>
                <w:rFonts w:asciiTheme="majorHAnsi" w:hAnsiTheme="majorHAnsi" w:cstheme="majorHAnsi"/>
                <w:bCs/>
                <w:color w:val="000000"/>
                <w:sz w:val="22"/>
                <w:szCs w:val="22"/>
              </w:rPr>
              <w:t>Se refere</w:t>
            </w:r>
            <w:r w:rsidR="00223575" w:rsidRPr="007A7A01">
              <w:rPr>
                <w:rFonts w:asciiTheme="majorHAnsi" w:hAnsiTheme="majorHAnsi" w:cstheme="majorHAnsi"/>
                <w:bCs/>
                <w:color w:val="000000"/>
                <w:sz w:val="22"/>
                <w:szCs w:val="22"/>
              </w:rPr>
              <w:t xml:space="preserve"> a instalação de</w:t>
            </w:r>
            <w:r w:rsidR="00FC69B1" w:rsidRPr="007A7A01">
              <w:rPr>
                <w:rFonts w:asciiTheme="majorHAnsi" w:hAnsiTheme="majorHAnsi" w:cstheme="majorHAnsi"/>
                <w:bCs/>
                <w:color w:val="000000"/>
                <w:sz w:val="22"/>
                <w:szCs w:val="22"/>
              </w:rPr>
              <w:t xml:space="preserve"> mais de</w:t>
            </w:r>
            <w:r w:rsidR="00223575" w:rsidRPr="007A7A01">
              <w:rPr>
                <w:rFonts w:asciiTheme="majorHAnsi" w:hAnsiTheme="majorHAnsi" w:cstheme="majorHAnsi"/>
                <w:bCs/>
                <w:color w:val="000000"/>
                <w:sz w:val="22"/>
                <w:szCs w:val="22"/>
              </w:rPr>
              <w:t xml:space="preserve"> </w:t>
            </w:r>
            <w:r w:rsidRPr="007A7A01">
              <w:rPr>
                <w:rFonts w:asciiTheme="majorHAnsi" w:hAnsiTheme="majorHAnsi" w:cstheme="majorHAnsi"/>
                <w:bCs/>
                <w:color w:val="000000"/>
                <w:sz w:val="22"/>
                <w:szCs w:val="22"/>
              </w:rPr>
              <w:t>1</w:t>
            </w:r>
            <w:r w:rsidR="00223575" w:rsidRPr="007A7A01">
              <w:rPr>
                <w:rFonts w:asciiTheme="majorHAnsi" w:hAnsiTheme="majorHAnsi" w:cstheme="majorHAnsi"/>
                <w:bCs/>
                <w:color w:val="000000"/>
                <w:sz w:val="22"/>
                <w:szCs w:val="22"/>
              </w:rPr>
              <w:t xml:space="preserve"> (um)</w:t>
            </w:r>
            <w:r w:rsidRPr="007A7A01">
              <w:rPr>
                <w:rFonts w:asciiTheme="majorHAnsi" w:hAnsiTheme="majorHAnsi" w:cstheme="majorHAnsi"/>
                <w:bCs/>
                <w:color w:val="000000"/>
                <w:sz w:val="22"/>
                <w:szCs w:val="22"/>
              </w:rPr>
              <w:t xml:space="preserve"> PAE </w:t>
            </w:r>
            <w:r w:rsidR="008970FC" w:rsidRPr="007A7A01">
              <w:rPr>
                <w:rFonts w:asciiTheme="majorHAnsi" w:hAnsiTheme="majorHAnsi" w:cstheme="majorHAnsi"/>
                <w:bCs/>
                <w:color w:val="000000"/>
                <w:sz w:val="22"/>
                <w:szCs w:val="22"/>
              </w:rPr>
              <w:t>no mesmo endereço</w:t>
            </w:r>
            <w:r w:rsidR="00A7217F" w:rsidRPr="007A7A01">
              <w:rPr>
                <w:rFonts w:asciiTheme="majorHAnsi" w:hAnsiTheme="majorHAnsi" w:cstheme="majorHAnsi"/>
                <w:bCs/>
                <w:color w:val="000000"/>
                <w:sz w:val="22"/>
                <w:szCs w:val="22"/>
              </w:rPr>
              <w:t>.</w:t>
            </w:r>
          </w:p>
        </w:tc>
      </w:tr>
      <w:tr w:rsidR="007A7A01" w:rsidRPr="007A7A01" w14:paraId="42D6C7A4" w14:textId="77777777" w:rsidTr="5C666337">
        <w:trPr>
          <w:trHeight w:val="20"/>
          <w:jc w:val="center"/>
        </w:trPr>
        <w:tc>
          <w:tcPr>
            <w:tcW w:w="1047" w:type="pct"/>
            <w:shd w:val="clear" w:color="auto" w:fill="4472C4" w:themeFill="accent1"/>
            <w:vAlign w:val="center"/>
          </w:tcPr>
          <w:p w14:paraId="710779D9" w14:textId="1E05EC39" w:rsidR="00A7217F"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PONTO EXTERNO SIMPLES</w:t>
            </w:r>
          </w:p>
        </w:tc>
        <w:tc>
          <w:tcPr>
            <w:tcW w:w="3953" w:type="pct"/>
            <w:vAlign w:val="center"/>
          </w:tcPr>
          <w:p w14:paraId="46DA6162" w14:textId="55F241D2" w:rsidR="00A7217F" w:rsidRPr="007A7A01" w:rsidRDefault="008970FC" w:rsidP="007A7A01">
            <w:pPr>
              <w:widowControl w:val="0"/>
              <w:spacing w:before="120" w:after="120"/>
              <w:rPr>
                <w:rFonts w:asciiTheme="majorHAnsi" w:hAnsiTheme="majorHAnsi" w:cstheme="majorHAnsi"/>
                <w:bCs/>
                <w:color w:val="000000"/>
                <w:sz w:val="22"/>
                <w:szCs w:val="22"/>
              </w:rPr>
            </w:pPr>
            <w:r w:rsidRPr="007A7A01">
              <w:rPr>
                <w:rFonts w:asciiTheme="majorHAnsi" w:hAnsiTheme="majorHAnsi" w:cstheme="majorHAnsi"/>
                <w:bCs/>
                <w:color w:val="000000"/>
                <w:sz w:val="22"/>
                <w:szCs w:val="22"/>
              </w:rPr>
              <w:t>Se refere a instalação de 1 (um) PAE</w:t>
            </w:r>
            <w:r w:rsidR="00FC69B1" w:rsidRPr="007A7A01">
              <w:rPr>
                <w:rFonts w:asciiTheme="majorHAnsi" w:hAnsiTheme="majorHAnsi" w:cstheme="majorHAnsi"/>
                <w:bCs/>
                <w:color w:val="000000"/>
                <w:sz w:val="22"/>
                <w:szCs w:val="22"/>
              </w:rPr>
              <w:t xml:space="preserve"> em um </w:t>
            </w:r>
            <w:r w:rsidRPr="007A7A01">
              <w:rPr>
                <w:rFonts w:asciiTheme="majorHAnsi" w:hAnsiTheme="majorHAnsi" w:cstheme="majorHAnsi"/>
                <w:bCs/>
                <w:color w:val="000000"/>
                <w:sz w:val="22"/>
                <w:szCs w:val="22"/>
              </w:rPr>
              <w:t>endereço</w:t>
            </w:r>
            <w:r w:rsidR="00FC69B1" w:rsidRPr="007A7A01">
              <w:rPr>
                <w:rFonts w:asciiTheme="majorHAnsi" w:hAnsiTheme="majorHAnsi" w:cstheme="majorHAnsi"/>
                <w:bCs/>
                <w:color w:val="000000"/>
                <w:sz w:val="22"/>
                <w:szCs w:val="22"/>
              </w:rPr>
              <w:t>.</w:t>
            </w:r>
          </w:p>
        </w:tc>
      </w:tr>
      <w:tr w:rsidR="007A7A01" w:rsidRPr="007A7A01" w14:paraId="62EFB884" w14:textId="77777777" w:rsidTr="5C666337">
        <w:trPr>
          <w:trHeight w:val="20"/>
          <w:jc w:val="center"/>
        </w:trPr>
        <w:tc>
          <w:tcPr>
            <w:tcW w:w="1047" w:type="pct"/>
            <w:shd w:val="clear" w:color="auto" w:fill="4472C4" w:themeFill="accent1"/>
            <w:vAlign w:val="center"/>
          </w:tcPr>
          <w:p w14:paraId="3E399C92" w14:textId="213A73B8" w:rsidR="00A7217F"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PREPOSTO</w:t>
            </w:r>
          </w:p>
        </w:tc>
        <w:tc>
          <w:tcPr>
            <w:tcW w:w="3953" w:type="pct"/>
            <w:vAlign w:val="center"/>
          </w:tcPr>
          <w:p w14:paraId="433853B2" w14:textId="464DE099" w:rsidR="00A7217F" w:rsidRPr="007A7A01" w:rsidRDefault="00A7217F"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Colaborador representante da CONTRATADA, responsável por acompanhar a execução do contrato e atuar como interlocutor principal junto à CONTRATANTE, incumbido de receber, diligenciar, encaminhar e responder as principais questões técnicas, legais e administrativas referentes ao andamento contratual.</w:t>
            </w:r>
          </w:p>
        </w:tc>
      </w:tr>
      <w:tr w:rsidR="007A7A01" w:rsidRPr="007A7A01" w14:paraId="768D74EC" w14:textId="77777777" w:rsidTr="5C666337">
        <w:trPr>
          <w:trHeight w:val="20"/>
          <w:jc w:val="center"/>
        </w:trPr>
        <w:tc>
          <w:tcPr>
            <w:tcW w:w="1047" w:type="pct"/>
            <w:shd w:val="clear" w:color="auto" w:fill="4472C4" w:themeFill="accent1"/>
            <w:vAlign w:val="center"/>
          </w:tcPr>
          <w:p w14:paraId="21868C87" w14:textId="0380D2D9" w:rsidR="00A7217F"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PROVEDOR / GRUPO DE SUPORTE</w:t>
            </w:r>
          </w:p>
        </w:tc>
        <w:tc>
          <w:tcPr>
            <w:tcW w:w="3953" w:type="pct"/>
            <w:vAlign w:val="center"/>
          </w:tcPr>
          <w:p w14:paraId="41C9D216" w14:textId="53616136" w:rsidR="00A7217F" w:rsidRPr="007A7A01" w:rsidRDefault="00A7217F"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Recipiente do software ARS - Action Request System da Remedy nos quais os chamados são designados para acesso e tratamento pela equipe especificamente alocada para determinada categoria da requisição de serviço.</w:t>
            </w:r>
          </w:p>
        </w:tc>
      </w:tr>
      <w:tr w:rsidR="2A8C4A8A" w14:paraId="48548191" w14:textId="77777777" w:rsidTr="2A8C4A8A">
        <w:trPr>
          <w:trHeight w:val="300"/>
          <w:jc w:val="center"/>
        </w:trPr>
        <w:tc>
          <w:tcPr>
            <w:tcW w:w="3115" w:type="dxa"/>
            <w:shd w:val="clear" w:color="auto" w:fill="4472C4" w:themeFill="accent1"/>
            <w:vAlign w:val="center"/>
          </w:tcPr>
          <w:p w14:paraId="38C64E9F" w14:textId="395ED619" w:rsidR="261079BD" w:rsidRDefault="261079BD" w:rsidP="2A8C4A8A">
            <w:pPr>
              <w:jc w:val="center"/>
              <w:rPr>
                <w:rFonts w:asciiTheme="majorHAnsi" w:hAnsiTheme="majorHAnsi" w:cstheme="majorBidi"/>
                <w:b/>
                <w:bCs/>
                <w:color w:val="FFFFFF" w:themeColor="background1"/>
                <w:sz w:val="24"/>
                <w:szCs w:val="24"/>
              </w:rPr>
            </w:pPr>
            <w:r w:rsidRPr="2A8C4A8A">
              <w:rPr>
                <w:rFonts w:asciiTheme="majorHAnsi" w:hAnsiTheme="majorHAnsi" w:cstheme="majorBidi"/>
                <w:b/>
                <w:bCs/>
                <w:color w:val="FFFFFF" w:themeColor="background1"/>
                <w:sz w:val="24"/>
                <w:szCs w:val="24"/>
              </w:rPr>
              <w:t>REAUS - REPRESENTAÇÃO USUÁRIOS TI</w:t>
            </w:r>
          </w:p>
        </w:tc>
        <w:tc>
          <w:tcPr>
            <w:tcW w:w="11763" w:type="dxa"/>
            <w:vAlign w:val="center"/>
          </w:tcPr>
          <w:p w14:paraId="3EE421AC" w14:textId="2EE062F1" w:rsidR="34467B6F" w:rsidRDefault="34467B6F" w:rsidP="2A8C4A8A">
            <w:pPr>
              <w:widowControl w:val="0"/>
              <w:spacing w:before="120" w:after="120"/>
              <w:rPr>
                <w:rFonts w:asciiTheme="majorHAnsi" w:hAnsiTheme="majorHAnsi" w:cstheme="majorBidi"/>
                <w:sz w:val="22"/>
                <w:szCs w:val="22"/>
              </w:rPr>
            </w:pPr>
            <w:r w:rsidRPr="2A8C4A8A">
              <w:rPr>
                <w:rFonts w:asciiTheme="majorHAnsi" w:hAnsiTheme="majorHAnsi" w:cstheme="majorBidi"/>
                <w:sz w:val="22"/>
                <w:szCs w:val="22"/>
              </w:rPr>
              <w:t>Representação da Centralizadora Regional de Atendimento aos Usuários – CIAUS, em ambientes contíguos às Centralizadoras, responsável pela gestão de serviços tecnológicos de hardware, software e telecomunicação; e atendimento técnico especializado aos recursos de hardware e software utilizados pelos usuários de TI, canais e Telecomunicações em sua área de abrangência.</w:t>
            </w:r>
          </w:p>
        </w:tc>
      </w:tr>
      <w:tr w:rsidR="007A7A01" w:rsidRPr="007A7A01" w14:paraId="3EEDBD4A" w14:textId="77777777" w:rsidTr="5C666337">
        <w:trPr>
          <w:trHeight w:val="20"/>
          <w:jc w:val="center"/>
        </w:trPr>
        <w:tc>
          <w:tcPr>
            <w:tcW w:w="1047" w:type="pct"/>
            <w:shd w:val="clear" w:color="auto" w:fill="4472C4" w:themeFill="accent1"/>
            <w:vAlign w:val="center"/>
          </w:tcPr>
          <w:p w14:paraId="4E315777" w14:textId="3A77DD33" w:rsidR="00A7217F"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RECURSO TECNOLÓGICO</w:t>
            </w:r>
          </w:p>
        </w:tc>
        <w:tc>
          <w:tcPr>
            <w:tcW w:w="3953" w:type="pct"/>
            <w:vAlign w:val="center"/>
          </w:tcPr>
          <w:p w14:paraId="55F54F3D" w14:textId="77777777" w:rsidR="00A7217F" w:rsidRPr="007A7A01" w:rsidRDefault="00A7217F"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Denominação genérica que se atribui a todo recurso do tipo software e hardware, a exemplo de estação de trabalho, estação financeira, servidor, ativos de rede, equipamentos de telefonia, equipamentos da Sala de Auto Atendimento, impressora e notebook instalados em ambiente descentralizado</w:t>
            </w:r>
          </w:p>
        </w:tc>
      </w:tr>
      <w:tr w:rsidR="007A7A01" w:rsidRPr="007A7A01" w14:paraId="4D362D2A" w14:textId="77777777" w:rsidTr="5C666337">
        <w:trPr>
          <w:trHeight w:val="20"/>
          <w:jc w:val="center"/>
        </w:trPr>
        <w:tc>
          <w:tcPr>
            <w:tcW w:w="1047" w:type="pct"/>
            <w:shd w:val="clear" w:color="auto" w:fill="4472C4" w:themeFill="accent1"/>
            <w:vAlign w:val="center"/>
          </w:tcPr>
          <w:p w14:paraId="1BA5FB6D" w14:textId="43C015A4" w:rsidR="00A7217F"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REDE LAN</w:t>
            </w:r>
          </w:p>
        </w:tc>
        <w:tc>
          <w:tcPr>
            <w:tcW w:w="3953" w:type="pct"/>
            <w:vAlign w:val="center"/>
          </w:tcPr>
          <w:p w14:paraId="49AB5705" w14:textId="4ACF1BD6" w:rsidR="00A7217F" w:rsidRPr="007A7A01" w:rsidRDefault="00A7217F"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Rede local que conecta usuários e aplicativos em estreita proximidade geográfica.</w:t>
            </w:r>
          </w:p>
        </w:tc>
      </w:tr>
      <w:tr w:rsidR="007A7A01" w:rsidRPr="007A7A01" w14:paraId="5B123B6B" w14:textId="77777777" w:rsidTr="5C666337">
        <w:trPr>
          <w:trHeight w:val="20"/>
          <w:jc w:val="center"/>
        </w:trPr>
        <w:tc>
          <w:tcPr>
            <w:tcW w:w="1047" w:type="pct"/>
            <w:shd w:val="clear" w:color="auto" w:fill="4472C4" w:themeFill="accent1"/>
            <w:vAlign w:val="center"/>
          </w:tcPr>
          <w:p w14:paraId="330204F5" w14:textId="31437B68" w:rsidR="00A7217F"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REDE WAN</w:t>
            </w:r>
          </w:p>
        </w:tc>
        <w:tc>
          <w:tcPr>
            <w:tcW w:w="3953" w:type="pct"/>
            <w:vAlign w:val="center"/>
          </w:tcPr>
          <w:p w14:paraId="6F84F75A" w14:textId="6A54CC54" w:rsidR="00A7217F" w:rsidRPr="007A7A01" w:rsidRDefault="00A7217F"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Rede de longa distância que conecta usuários e aplicativos em longa distância geográfica.</w:t>
            </w:r>
          </w:p>
        </w:tc>
      </w:tr>
      <w:tr w:rsidR="007A7A01" w:rsidRPr="007A7A01" w14:paraId="47EA2035" w14:textId="77777777" w:rsidTr="5C666337">
        <w:trPr>
          <w:trHeight w:val="20"/>
          <w:jc w:val="center"/>
        </w:trPr>
        <w:tc>
          <w:tcPr>
            <w:tcW w:w="1047" w:type="pct"/>
            <w:shd w:val="clear" w:color="auto" w:fill="4472C4" w:themeFill="accent1"/>
            <w:vAlign w:val="center"/>
          </w:tcPr>
          <w:p w14:paraId="656E4328" w14:textId="71CECAA8" w:rsidR="00A7217F"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RELATÓRIO DE ATENDIMENTO TÉCNICO - RAT</w:t>
            </w:r>
          </w:p>
        </w:tc>
        <w:tc>
          <w:tcPr>
            <w:tcW w:w="3953" w:type="pct"/>
            <w:vAlign w:val="center"/>
          </w:tcPr>
          <w:p w14:paraId="5213427A" w14:textId="5A4D1F17" w:rsidR="00A7217F" w:rsidRPr="007A7A01" w:rsidRDefault="00A7217F"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É um documento que reúne todas as informações referente aos serviços realizados durante o atendimento técnico, registrando as não conformidades, soluções aplicadas e o diagnóstico detalhado do serviço.</w:t>
            </w:r>
          </w:p>
        </w:tc>
      </w:tr>
      <w:tr w:rsidR="007A7A01" w:rsidRPr="007A7A01" w14:paraId="3739D518" w14:textId="77777777" w:rsidTr="5C666337">
        <w:trPr>
          <w:trHeight w:val="20"/>
          <w:jc w:val="center"/>
        </w:trPr>
        <w:tc>
          <w:tcPr>
            <w:tcW w:w="1047" w:type="pct"/>
            <w:shd w:val="clear" w:color="auto" w:fill="4472C4" w:themeFill="accent1"/>
            <w:vAlign w:val="center"/>
          </w:tcPr>
          <w:p w14:paraId="322306E7" w14:textId="5B5AEDFF" w:rsidR="00A7217F"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REQUISIÇÃO DE SERVIÇO</w:t>
            </w:r>
          </w:p>
        </w:tc>
        <w:tc>
          <w:tcPr>
            <w:tcW w:w="3953" w:type="pct"/>
            <w:vAlign w:val="center"/>
          </w:tcPr>
          <w:p w14:paraId="04CC9341" w14:textId="7D027141" w:rsidR="00A7217F" w:rsidRPr="007A7A01" w:rsidRDefault="00A7217F"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Solicitação de atendimento originada por usuário demandante no SIGSC ou outra ferramenta que a CAIXA definir.</w:t>
            </w:r>
          </w:p>
        </w:tc>
      </w:tr>
      <w:tr w:rsidR="007A7A01" w:rsidRPr="007A7A01" w14:paraId="42FD11DB" w14:textId="77777777" w:rsidTr="5C666337">
        <w:trPr>
          <w:trHeight w:val="20"/>
          <w:jc w:val="center"/>
        </w:trPr>
        <w:tc>
          <w:tcPr>
            <w:tcW w:w="1047" w:type="pct"/>
            <w:shd w:val="clear" w:color="auto" w:fill="4472C4" w:themeFill="accent1"/>
            <w:vAlign w:val="center"/>
          </w:tcPr>
          <w:p w14:paraId="41838976" w14:textId="40ED0D89" w:rsidR="00A7217F"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SAA - SALA DE AUTOATENDIMENTO</w:t>
            </w:r>
          </w:p>
        </w:tc>
        <w:tc>
          <w:tcPr>
            <w:tcW w:w="3953" w:type="pct"/>
            <w:vAlign w:val="center"/>
          </w:tcPr>
          <w:p w14:paraId="6E3D5BF1" w14:textId="77777777" w:rsidR="00A7217F" w:rsidRPr="007A7A01" w:rsidRDefault="00A7217F"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Ambientes fechados, com um ou mais equipamentos, instalados nas dependências das agências da CAIXA.</w:t>
            </w:r>
          </w:p>
        </w:tc>
      </w:tr>
      <w:tr w:rsidR="007A7A01" w:rsidRPr="007A7A01" w14:paraId="4A79093C" w14:textId="77777777" w:rsidTr="5C666337">
        <w:trPr>
          <w:trHeight w:val="20"/>
          <w:jc w:val="center"/>
        </w:trPr>
        <w:tc>
          <w:tcPr>
            <w:tcW w:w="1047" w:type="pct"/>
            <w:shd w:val="clear" w:color="auto" w:fill="4472C4" w:themeFill="accent1"/>
            <w:vAlign w:val="center"/>
          </w:tcPr>
          <w:p w14:paraId="66D6D613" w14:textId="176EA65C" w:rsidR="00A7217F"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SCRIPT</w:t>
            </w:r>
          </w:p>
        </w:tc>
        <w:tc>
          <w:tcPr>
            <w:tcW w:w="3953" w:type="pct"/>
            <w:vAlign w:val="center"/>
          </w:tcPr>
          <w:p w14:paraId="5ADF7ADB" w14:textId="1B457902" w:rsidR="00A7217F" w:rsidRPr="007A7A01" w:rsidRDefault="00A7217F"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É um conjunto de instruções ou comandos predefinidos a serem executados pelos Analistas / Técnicos, para realizar ações específicas.</w:t>
            </w:r>
          </w:p>
        </w:tc>
      </w:tr>
      <w:tr w:rsidR="007A7A01" w:rsidRPr="007A7A01" w14:paraId="3F246A94" w14:textId="77777777" w:rsidTr="5C666337">
        <w:trPr>
          <w:trHeight w:val="20"/>
          <w:jc w:val="center"/>
        </w:trPr>
        <w:tc>
          <w:tcPr>
            <w:tcW w:w="1047" w:type="pct"/>
            <w:shd w:val="clear" w:color="auto" w:fill="4472C4" w:themeFill="accent1"/>
            <w:vAlign w:val="center"/>
          </w:tcPr>
          <w:p w14:paraId="01A2C838" w14:textId="3A07BF6A" w:rsidR="00A7217F"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SIGSC</w:t>
            </w:r>
          </w:p>
        </w:tc>
        <w:tc>
          <w:tcPr>
            <w:tcW w:w="3953" w:type="pct"/>
            <w:vAlign w:val="center"/>
          </w:tcPr>
          <w:p w14:paraId="5CE7AEA9" w14:textId="5838A6BC" w:rsidR="00A7217F" w:rsidRPr="007A7A01" w:rsidRDefault="00A7217F"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 xml:space="preserve">Sistema de Gerenciamento de Serviços CAIXA: Conjunto de softwares e ferramentas disponibilizadas pela CAIXA, baseadas na </w:t>
            </w:r>
            <w:r w:rsidRPr="007A7A01">
              <w:rPr>
                <w:rFonts w:asciiTheme="majorHAnsi" w:hAnsiTheme="majorHAnsi" w:cstheme="majorHAnsi"/>
                <w:sz w:val="22"/>
                <w:szCs w:val="22"/>
                <w:lang w:eastAsia="ar-SA"/>
              </w:rPr>
              <w:t xml:space="preserve">plataforma BMC </w:t>
            </w:r>
            <w:r w:rsidRPr="007A7A01">
              <w:rPr>
                <w:rFonts w:asciiTheme="majorHAnsi" w:hAnsiTheme="majorHAnsi" w:cstheme="majorHAnsi"/>
                <w:i/>
                <w:iCs/>
                <w:sz w:val="22"/>
                <w:szCs w:val="22"/>
                <w:lang w:eastAsia="ar-SA"/>
              </w:rPr>
              <w:t>(Remedy Action Request System)</w:t>
            </w:r>
            <w:r w:rsidRPr="007A7A01">
              <w:rPr>
                <w:rFonts w:asciiTheme="majorHAnsi" w:hAnsiTheme="majorHAnsi" w:cstheme="majorHAnsi"/>
                <w:sz w:val="22"/>
                <w:szCs w:val="22"/>
                <w:lang w:eastAsia="ar-SA"/>
              </w:rPr>
              <w:t xml:space="preserve"> ARS relacionadas com o BMC Remedy IT Service Management</w:t>
            </w:r>
            <w:r w:rsidRPr="007A7A01">
              <w:rPr>
                <w:rFonts w:asciiTheme="majorHAnsi" w:hAnsiTheme="majorHAnsi" w:cstheme="majorHAnsi"/>
                <w:sz w:val="22"/>
                <w:szCs w:val="22"/>
              </w:rPr>
              <w:t>, com interface web para abertura/acompanhamento de chamados pelos usuários, consoles para utilização no acompanhamento, registro e demais atividades relacionadas aos incidentes, controles dos dados associados e demais recursos relacionados ao processo.</w:t>
            </w:r>
          </w:p>
        </w:tc>
      </w:tr>
      <w:tr w:rsidR="007A7A01" w:rsidRPr="007A7A01" w14:paraId="452A08EA" w14:textId="77777777" w:rsidTr="5C666337">
        <w:trPr>
          <w:trHeight w:val="20"/>
          <w:jc w:val="center"/>
        </w:trPr>
        <w:tc>
          <w:tcPr>
            <w:tcW w:w="1047" w:type="pct"/>
            <w:shd w:val="clear" w:color="auto" w:fill="4472C4" w:themeFill="accent1"/>
            <w:vAlign w:val="center"/>
          </w:tcPr>
          <w:p w14:paraId="73198542" w14:textId="44A16B08" w:rsidR="00A7217F"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SINALIZAÇÃO</w:t>
            </w:r>
          </w:p>
        </w:tc>
        <w:tc>
          <w:tcPr>
            <w:tcW w:w="3953" w:type="pct"/>
            <w:vAlign w:val="center"/>
          </w:tcPr>
          <w:p w14:paraId="351A187B" w14:textId="77777777" w:rsidR="00A7217F" w:rsidRPr="007A7A01" w:rsidRDefault="00A7217F"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Item de indicação de serviços e exposição da marca CAIXA no equipamento e/ou na carenagem em PAE.</w:t>
            </w:r>
          </w:p>
        </w:tc>
      </w:tr>
      <w:tr w:rsidR="007A7A01" w:rsidRPr="007A7A01" w14:paraId="283D0501" w14:textId="77777777" w:rsidTr="5C666337">
        <w:trPr>
          <w:trHeight w:val="20"/>
          <w:jc w:val="center"/>
        </w:trPr>
        <w:tc>
          <w:tcPr>
            <w:tcW w:w="1047" w:type="pct"/>
            <w:shd w:val="clear" w:color="auto" w:fill="4472C4" w:themeFill="accent1"/>
            <w:vAlign w:val="center"/>
          </w:tcPr>
          <w:p w14:paraId="78A4D7DD" w14:textId="6ABED96D" w:rsidR="00A7217F"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SINALIZAÇÃO EXTERNA</w:t>
            </w:r>
          </w:p>
        </w:tc>
        <w:tc>
          <w:tcPr>
            <w:tcW w:w="3953" w:type="pct"/>
            <w:vAlign w:val="center"/>
          </w:tcPr>
          <w:p w14:paraId="66FA37D6" w14:textId="77777777" w:rsidR="00A7217F" w:rsidRPr="007A7A01" w:rsidRDefault="00A7217F"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Conjunto de elementos tridimensionais ou bidimensionais e modulares utilizados para indicação e exposição da marca CAIXA e de parceiros, existente na área externa do imóvel onde estão instalados os equipamentos em PAE.</w:t>
            </w:r>
          </w:p>
        </w:tc>
      </w:tr>
      <w:tr w:rsidR="007A7A01" w:rsidRPr="007A7A01" w14:paraId="775856D5" w14:textId="77777777" w:rsidTr="5C666337">
        <w:trPr>
          <w:trHeight w:val="20"/>
          <w:jc w:val="center"/>
        </w:trPr>
        <w:tc>
          <w:tcPr>
            <w:tcW w:w="1047" w:type="pct"/>
            <w:shd w:val="clear" w:color="auto" w:fill="4472C4" w:themeFill="accent1"/>
            <w:vAlign w:val="center"/>
          </w:tcPr>
          <w:p w14:paraId="47F5BF4B" w14:textId="056FF8FE" w:rsidR="00A7217F"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SNC - SALA NÃO-CONTÍGUA</w:t>
            </w:r>
          </w:p>
        </w:tc>
        <w:tc>
          <w:tcPr>
            <w:tcW w:w="3953" w:type="pct"/>
            <w:vAlign w:val="center"/>
          </w:tcPr>
          <w:p w14:paraId="39B88879" w14:textId="77777777" w:rsidR="00A7217F" w:rsidRPr="007A7A01" w:rsidRDefault="00A7217F"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Ambientes fechados, com um ou mais equipamentos, instalados nas dependências de shopping centers, hospitais, prefeituras, órgãos e espaços públicos e/ou privados, que mantêm padrão físico caracterizando a identidade corporativa da CAIXA. Consideradas não-contíguas por estarem instaladas de forma apartada ao ambiente de agência.</w:t>
            </w:r>
          </w:p>
        </w:tc>
      </w:tr>
      <w:tr w:rsidR="007A7A01" w:rsidRPr="007A7A01" w14:paraId="4F733B60" w14:textId="77777777" w:rsidTr="5C666337">
        <w:trPr>
          <w:trHeight w:val="20"/>
          <w:jc w:val="center"/>
        </w:trPr>
        <w:tc>
          <w:tcPr>
            <w:tcW w:w="1047" w:type="pct"/>
            <w:shd w:val="clear" w:color="auto" w:fill="4472C4" w:themeFill="accent1"/>
            <w:vAlign w:val="center"/>
          </w:tcPr>
          <w:p w14:paraId="13081128" w14:textId="45DFFD8F" w:rsidR="00A7217F"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SOLUÇÃO PAE</w:t>
            </w:r>
          </w:p>
        </w:tc>
        <w:tc>
          <w:tcPr>
            <w:tcW w:w="3953" w:type="pct"/>
            <w:vAlign w:val="center"/>
          </w:tcPr>
          <w:p w14:paraId="3786F509" w14:textId="77777777" w:rsidR="00A7217F" w:rsidRPr="007A7A01" w:rsidRDefault="00A7217F"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Conjunto de equipamentos, carenagens, estabilizadores, sistemas de segurança (câmeras e alarmes), elementos de rede (rack, modens, switches, hubs), hotline, elementos de sinalização, placas, cartazes e afins que servem de sustentação para o funcionamento ou para a padronização de um PAE.</w:t>
            </w:r>
          </w:p>
        </w:tc>
      </w:tr>
      <w:tr w:rsidR="007A7A01" w:rsidRPr="007A7A01" w14:paraId="6AF01B0E" w14:textId="77777777" w:rsidTr="5C666337">
        <w:trPr>
          <w:trHeight w:val="20"/>
          <w:jc w:val="center"/>
        </w:trPr>
        <w:tc>
          <w:tcPr>
            <w:tcW w:w="1047" w:type="pct"/>
            <w:shd w:val="clear" w:color="auto" w:fill="4472C4" w:themeFill="accent1"/>
            <w:vAlign w:val="center"/>
          </w:tcPr>
          <w:p w14:paraId="35B51693" w14:textId="683A5DEE" w:rsidR="00A7217F"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TECNOLOGIAS ASSISTIVAS</w:t>
            </w:r>
          </w:p>
        </w:tc>
        <w:tc>
          <w:tcPr>
            <w:tcW w:w="3953" w:type="pct"/>
            <w:vAlign w:val="center"/>
          </w:tcPr>
          <w:p w14:paraId="7F2FE1A3" w14:textId="675BF0A7" w:rsidR="00A7217F" w:rsidRPr="007A7A01" w:rsidRDefault="00A7217F"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Produtos, equipamentos, dispositivos, recursos, metodologias, estratégias, práticas e serviços que objetivam promover a funcionalidade, relacionada à atividade e à participação da pessoa com deficiência ou com mobilidade reduzida.</w:t>
            </w:r>
          </w:p>
        </w:tc>
      </w:tr>
      <w:tr w:rsidR="007A7A01" w:rsidRPr="007A7A01" w14:paraId="1F01F313" w14:textId="77777777" w:rsidTr="5C666337">
        <w:trPr>
          <w:trHeight w:val="20"/>
          <w:jc w:val="center"/>
        </w:trPr>
        <w:tc>
          <w:tcPr>
            <w:tcW w:w="1047" w:type="pct"/>
            <w:shd w:val="clear" w:color="auto" w:fill="4472C4" w:themeFill="accent1"/>
            <w:vAlign w:val="center"/>
          </w:tcPr>
          <w:p w14:paraId="21BDCB0A" w14:textId="01F13070" w:rsidR="00A7217F"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TIC</w:t>
            </w:r>
          </w:p>
        </w:tc>
        <w:tc>
          <w:tcPr>
            <w:tcW w:w="3953" w:type="pct"/>
            <w:vAlign w:val="center"/>
          </w:tcPr>
          <w:p w14:paraId="0923019F" w14:textId="3C58498D" w:rsidR="00A7217F" w:rsidRPr="007A7A01" w:rsidRDefault="00A7217F"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Tecnologia da Informação e Comunicação: é um conjunto de recursos tecnológicos para obter, processar e gerar informações que são tornadas acessíveis por meio de redes de comunicação. Composto por uma variedade de dispositivos, aplicativos, redes e serviços de computação que permitem comunicação.</w:t>
            </w:r>
          </w:p>
        </w:tc>
      </w:tr>
      <w:tr w:rsidR="007A7A01" w:rsidRPr="007A7A01" w14:paraId="5CDD0CE0" w14:textId="77777777" w:rsidTr="5C666337">
        <w:trPr>
          <w:trHeight w:val="20"/>
          <w:jc w:val="center"/>
        </w:trPr>
        <w:tc>
          <w:tcPr>
            <w:tcW w:w="1047" w:type="pct"/>
            <w:shd w:val="clear" w:color="auto" w:fill="4472C4" w:themeFill="accent1"/>
            <w:vAlign w:val="center"/>
          </w:tcPr>
          <w:p w14:paraId="5611D405" w14:textId="4153B764" w:rsidR="00A7217F"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UNIDADES ADMINISTRATIVAS CAIXA (MATRIZ)</w:t>
            </w:r>
          </w:p>
        </w:tc>
        <w:tc>
          <w:tcPr>
            <w:tcW w:w="3953" w:type="pct"/>
            <w:vAlign w:val="center"/>
          </w:tcPr>
          <w:p w14:paraId="04FF9AAA" w14:textId="704AF952" w:rsidR="00A7217F" w:rsidRPr="007A7A01" w:rsidRDefault="00A7217F"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São representadas pela Presidência, Vice-Presidências, Diretorias Executivas, Superintendências Nacionais, Ouvidoria, Gerências Nacionais, Centralizadoras, Gerências de Filiais, Representações, entre outras.</w:t>
            </w:r>
          </w:p>
        </w:tc>
      </w:tr>
      <w:tr w:rsidR="007A7A01" w:rsidRPr="007A7A01" w14:paraId="0BFBDBDE" w14:textId="77777777" w:rsidTr="5C666337">
        <w:trPr>
          <w:trHeight w:val="20"/>
          <w:jc w:val="center"/>
        </w:trPr>
        <w:tc>
          <w:tcPr>
            <w:tcW w:w="1047" w:type="pct"/>
            <w:shd w:val="clear" w:color="auto" w:fill="4472C4" w:themeFill="accent1"/>
            <w:vAlign w:val="center"/>
          </w:tcPr>
          <w:p w14:paraId="0916722B" w14:textId="37149871" w:rsidR="00A7217F"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UNIDADES CRÍTICAS</w:t>
            </w:r>
          </w:p>
        </w:tc>
        <w:tc>
          <w:tcPr>
            <w:tcW w:w="3953" w:type="pct"/>
            <w:vAlign w:val="center"/>
          </w:tcPr>
          <w:p w14:paraId="3D2693AB" w14:textId="55CE7BDD" w:rsidR="00A7217F" w:rsidRPr="007A7A01" w:rsidRDefault="00A7217F"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Unidades da CAIXA que concentram quantidade expressiva de equipamentos que justifique a alocação dedicada, cujos processos dependam de outros serviços, que não apenas o de suporte aos hardwares e softwares básicos, tais como administração de rede e servidores e sistemas especializados, ou, ainda, que os prazos contratuais não são suficientes para afastar prejuízos decorrentes da inoperância dos recursos tecnológicos instalados;</w:t>
            </w:r>
          </w:p>
        </w:tc>
      </w:tr>
      <w:tr w:rsidR="007A7A01" w:rsidRPr="007A7A01" w14:paraId="6C55829D" w14:textId="77777777" w:rsidTr="5C666337">
        <w:trPr>
          <w:trHeight w:val="20"/>
          <w:jc w:val="center"/>
        </w:trPr>
        <w:tc>
          <w:tcPr>
            <w:tcW w:w="1047" w:type="pct"/>
            <w:shd w:val="clear" w:color="auto" w:fill="4472C4" w:themeFill="accent1"/>
            <w:vAlign w:val="center"/>
          </w:tcPr>
          <w:p w14:paraId="582E97D5" w14:textId="3AACACAB" w:rsidR="00A7217F"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USUÁRIOS INTERNOS DA CAIXA</w:t>
            </w:r>
          </w:p>
        </w:tc>
        <w:tc>
          <w:tcPr>
            <w:tcW w:w="3953" w:type="pct"/>
            <w:vAlign w:val="center"/>
          </w:tcPr>
          <w:p w14:paraId="0E83AB76" w14:textId="1567043F" w:rsidR="00A7217F" w:rsidRPr="007A7A01" w:rsidRDefault="00A7217F" w:rsidP="007A7A01">
            <w:pPr>
              <w:widowControl w:val="0"/>
              <w:spacing w:before="120" w:after="120"/>
              <w:rPr>
                <w:rFonts w:asciiTheme="majorHAnsi" w:hAnsiTheme="majorHAnsi" w:cstheme="majorHAnsi"/>
                <w:sz w:val="22"/>
                <w:szCs w:val="22"/>
                <w:highlight w:val="yellow"/>
              </w:rPr>
            </w:pPr>
            <w:r w:rsidRPr="007A7A01">
              <w:rPr>
                <w:rFonts w:asciiTheme="majorHAnsi" w:hAnsiTheme="majorHAnsi" w:cstheme="majorHAnsi"/>
                <w:sz w:val="22"/>
                <w:szCs w:val="22"/>
              </w:rPr>
              <w:t>Empregado CAIXA, prestador de serviço, estagiário, adolescente aprendiz, jovem aprendiz, aposentado e pensionista.</w:t>
            </w:r>
          </w:p>
        </w:tc>
      </w:tr>
      <w:tr w:rsidR="007A7A01" w:rsidRPr="007A7A01" w14:paraId="3481B5A3" w14:textId="77777777" w:rsidTr="5C666337">
        <w:trPr>
          <w:trHeight w:val="20"/>
          <w:jc w:val="center"/>
        </w:trPr>
        <w:tc>
          <w:tcPr>
            <w:tcW w:w="1047" w:type="pct"/>
            <w:shd w:val="clear" w:color="auto" w:fill="4472C4" w:themeFill="accent1"/>
            <w:vAlign w:val="center"/>
          </w:tcPr>
          <w:p w14:paraId="2780BC72" w14:textId="0B5536B6" w:rsidR="00A7217F"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USUÁRIOS EXTERNOS DE PARCEIROS</w:t>
            </w:r>
          </w:p>
        </w:tc>
        <w:tc>
          <w:tcPr>
            <w:tcW w:w="3953" w:type="pct"/>
            <w:vAlign w:val="center"/>
          </w:tcPr>
          <w:p w14:paraId="10CA1B30" w14:textId="77777777" w:rsidR="00A7217F" w:rsidRPr="007A7A01" w:rsidRDefault="00A7217F"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Responsáveis ou empregados de Correspondentes Bancários e Lotéricos que podem demandar atendimento relativos a incidentes e requisições de serviços.</w:t>
            </w:r>
          </w:p>
        </w:tc>
      </w:tr>
      <w:tr w:rsidR="007A7A01" w:rsidRPr="007A7A01" w14:paraId="3EFDC3D6" w14:textId="77777777" w:rsidTr="5C666337">
        <w:trPr>
          <w:trHeight w:val="20"/>
          <w:jc w:val="center"/>
        </w:trPr>
        <w:tc>
          <w:tcPr>
            <w:tcW w:w="1047" w:type="pct"/>
            <w:shd w:val="clear" w:color="auto" w:fill="4472C4" w:themeFill="accent1"/>
            <w:vAlign w:val="center"/>
          </w:tcPr>
          <w:p w14:paraId="6F2206B4" w14:textId="01028CC8" w:rsidR="00A7217F" w:rsidRPr="00600DEC" w:rsidRDefault="007A7A01" w:rsidP="00600DEC">
            <w:pPr>
              <w:widowControl w:val="0"/>
              <w:spacing w:before="120" w:after="120"/>
              <w:jc w:val="center"/>
              <w:rPr>
                <w:rFonts w:asciiTheme="majorHAnsi" w:hAnsiTheme="majorHAnsi" w:cstheme="majorHAnsi"/>
                <w:b/>
                <w:color w:val="FFFFFF" w:themeColor="background1"/>
                <w:sz w:val="24"/>
                <w:szCs w:val="24"/>
              </w:rPr>
            </w:pPr>
            <w:r w:rsidRPr="00600DEC">
              <w:rPr>
                <w:rFonts w:asciiTheme="majorHAnsi" w:hAnsiTheme="majorHAnsi" w:cstheme="majorHAnsi"/>
                <w:b/>
                <w:color w:val="FFFFFF" w:themeColor="background1"/>
                <w:sz w:val="24"/>
                <w:szCs w:val="24"/>
              </w:rPr>
              <w:t>VAN</w:t>
            </w:r>
          </w:p>
        </w:tc>
        <w:tc>
          <w:tcPr>
            <w:tcW w:w="3953" w:type="pct"/>
            <w:vAlign w:val="center"/>
          </w:tcPr>
          <w:p w14:paraId="07681517" w14:textId="79311B1D" w:rsidR="00A7217F" w:rsidRPr="007A7A01" w:rsidRDefault="00A7217F" w:rsidP="007A7A01">
            <w:pPr>
              <w:widowControl w:val="0"/>
              <w:spacing w:before="120" w:after="120"/>
              <w:rPr>
                <w:rFonts w:asciiTheme="majorHAnsi" w:hAnsiTheme="majorHAnsi" w:cstheme="majorHAnsi"/>
                <w:sz w:val="22"/>
                <w:szCs w:val="22"/>
              </w:rPr>
            </w:pPr>
            <w:r w:rsidRPr="007A7A01">
              <w:rPr>
                <w:rFonts w:asciiTheme="majorHAnsi" w:hAnsiTheme="majorHAnsi" w:cstheme="majorHAnsi"/>
                <w:sz w:val="22"/>
                <w:szCs w:val="22"/>
              </w:rPr>
              <w:t>“Value Added Network” - Rede de Valor Agregado, representada por empresas contratadas pela CAIXA para viabilizar a conexão e transmissão eletrônica de dados entre a CAIXA e seus clientes.</w:t>
            </w:r>
          </w:p>
        </w:tc>
      </w:tr>
    </w:tbl>
    <w:p w14:paraId="1DB3484C" w14:textId="77777777" w:rsidR="000D4CC4" w:rsidRDefault="000D4CC4"/>
    <w:sectPr w:rsidR="000D4CC4" w:rsidSect="007A7A01">
      <w:headerReference w:type="even" r:id="rId10"/>
      <w:headerReference w:type="default" r:id="rId11"/>
      <w:footerReference w:type="even" r:id="rId12"/>
      <w:footerReference w:type="default" r:id="rId13"/>
      <w:headerReference w:type="first" r:id="rId14"/>
      <w:footerReference w:type="first" r:id="rId15"/>
      <w:pgSz w:w="16838" w:h="11906" w:orient="landscape"/>
      <w:pgMar w:top="1701" w:right="1417" w:bottom="56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DD4FB" w14:textId="77777777" w:rsidR="00162C6F" w:rsidRDefault="00162C6F" w:rsidP="00DF484F">
      <w:r>
        <w:separator/>
      </w:r>
    </w:p>
  </w:endnote>
  <w:endnote w:type="continuationSeparator" w:id="0">
    <w:p w14:paraId="5292CE7B" w14:textId="77777777" w:rsidR="00162C6F" w:rsidRDefault="00162C6F" w:rsidP="00DF484F">
      <w:r>
        <w:continuationSeparator/>
      </w:r>
    </w:p>
  </w:endnote>
  <w:endnote w:type="continuationNotice" w:id="1">
    <w:p w14:paraId="0567D6C2" w14:textId="77777777" w:rsidR="00162C6F" w:rsidRDefault="00162C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F900F" w14:textId="77777777" w:rsidR="001B14ED" w:rsidRDefault="001B14ED">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1551C" w14:textId="77777777" w:rsidR="001B14ED" w:rsidRDefault="001B14ED">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BE5ED" w14:textId="77777777" w:rsidR="001B14ED" w:rsidRDefault="001B14E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DF564" w14:textId="77777777" w:rsidR="00162C6F" w:rsidRDefault="00162C6F" w:rsidP="00DF484F">
      <w:r>
        <w:separator/>
      </w:r>
    </w:p>
  </w:footnote>
  <w:footnote w:type="continuationSeparator" w:id="0">
    <w:p w14:paraId="75674CC2" w14:textId="77777777" w:rsidR="00162C6F" w:rsidRDefault="00162C6F" w:rsidP="00DF484F">
      <w:r>
        <w:continuationSeparator/>
      </w:r>
    </w:p>
  </w:footnote>
  <w:footnote w:type="continuationNotice" w:id="1">
    <w:p w14:paraId="5C6F0519" w14:textId="77777777" w:rsidR="00162C6F" w:rsidRDefault="00162C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59B6A" w14:textId="77777777" w:rsidR="001B14ED" w:rsidRDefault="001B14ED">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3FD82" w14:textId="301F8743" w:rsidR="001B14ED" w:rsidRDefault="00000000">
    <w:pPr>
      <w:pStyle w:val="Cabealho"/>
    </w:pPr>
    <w:r>
      <w:rPr>
        <w:noProof/>
      </w:rPr>
      <w:object w:dxaOrig="1440" w:dyaOrig="1440" w14:anchorId="319068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15.7pt;margin-top:9.65pt;width:168.1pt;height:29.95pt;z-index:251658240">
          <v:imagedata r:id="rId1" o:title=""/>
          <w10:wrap type="topAndBottom"/>
        </v:shape>
        <o:OLEObject Type="Embed" ProgID="PBrush" ShapeID="_x0000_s1025" DrawAspect="Content" ObjectID="_1815309551" r:id="rId2"/>
      </w:obje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73051" w14:textId="77777777" w:rsidR="001B14ED" w:rsidRDefault="001B14ED">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CAD"/>
    <w:rsid w:val="00002361"/>
    <w:rsid w:val="0001282F"/>
    <w:rsid w:val="00034B31"/>
    <w:rsid w:val="00047A3B"/>
    <w:rsid w:val="00060298"/>
    <w:rsid w:val="000C0720"/>
    <w:rsid w:val="000D25EE"/>
    <w:rsid w:val="000D4CC4"/>
    <w:rsid w:val="000E0E58"/>
    <w:rsid w:val="0010556C"/>
    <w:rsid w:val="00111B53"/>
    <w:rsid w:val="00123B09"/>
    <w:rsid w:val="00143EF1"/>
    <w:rsid w:val="00162C6F"/>
    <w:rsid w:val="00163D60"/>
    <w:rsid w:val="00163F81"/>
    <w:rsid w:val="0018671F"/>
    <w:rsid w:val="001A02E9"/>
    <w:rsid w:val="001A5430"/>
    <w:rsid w:val="001B14ED"/>
    <w:rsid w:val="001D0161"/>
    <w:rsid w:val="001D2BA5"/>
    <w:rsid w:val="001D7FF2"/>
    <w:rsid w:val="001E0216"/>
    <w:rsid w:val="001E15C9"/>
    <w:rsid w:val="001F5C72"/>
    <w:rsid w:val="0021613D"/>
    <w:rsid w:val="00223575"/>
    <w:rsid w:val="0022440D"/>
    <w:rsid w:val="00250E12"/>
    <w:rsid w:val="00252946"/>
    <w:rsid w:val="00281417"/>
    <w:rsid w:val="00283112"/>
    <w:rsid w:val="002A6114"/>
    <w:rsid w:val="002A6F2C"/>
    <w:rsid w:val="002B7E7B"/>
    <w:rsid w:val="002D76C3"/>
    <w:rsid w:val="00301A0F"/>
    <w:rsid w:val="0030556E"/>
    <w:rsid w:val="00312308"/>
    <w:rsid w:val="00314D96"/>
    <w:rsid w:val="00326079"/>
    <w:rsid w:val="00327214"/>
    <w:rsid w:val="00355189"/>
    <w:rsid w:val="00366CA4"/>
    <w:rsid w:val="00393871"/>
    <w:rsid w:val="00396C2C"/>
    <w:rsid w:val="003B1F51"/>
    <w:rsid w:val="003B3649"/>
    <w:rsid w:val="003C5750"/>
    <w:rsid w:val="003E0585"/>
    <w:rsid w:val="003E2BC4"/>
    <w:rsid w:val="00430EB1"/>
    <w:rsid w:val="00434DD9"/>
    <w:rsid w:val="00443199"/>
    <w:rsid w:val="004453C6"/>
    <w:rsid w:val="00471A58"/>
    <w:rsid w:val="004D4568"/>
    <w:rsid w:val="004E18C6"/>
    <w:rsid w:val="004E526E"/>
    <w:rsid w:val="00501917"/>
    <w:rsid w:val="00502901"/>
    <w:rsid w:val="00512DE3"/>
    <w:rsid w:val="00517CAD"/>
    <w:rsid w:val="005203C3"/>
    <w:rsid w:val="00533667"/>
    <w:rsid w:val="0053568B"/>
    <w:rsid w:val="00554047"/>
    <w:rsid w:val="00562C08"/>
    <w:rsid w:val="00586CD5"/>
    <w:rsid w:val="00592B46"/>
    <w:rsid w:val="005B508C"/>
    <w:rsid w:val="005C15DB"/>
    <w:rsid w:val="005C7878"/>
    <w:rsid w:val="005D2E7C"/>
    <w:rsid w:val="005F657B"/>
    <w:rsid w:val="00600DEC"/>
    <w:rsid w:val="00603642"/>
    <w:rsid w:val="00613365"/>
    <w:rsid w:val="0062234A"/>
    <w:rsid w:val="00624715"/>
    <w:rsid w:val="00627C88"/>
    <w:rsid w:val="0063310A"/>
    <w:rsid w:val="00633649"/>
    <w:rsid w:val="00642A8E"/>
    <w:rsid w:val="00652E11"/>
    <w:rsid w:val="006720AB"/>
    <w:rsid w:val="00674CF8"/>
    <w:rsid w:val="006A09D8"/>
    <w:rsid w:val="006E7F8F"/>
    <w:rsid w:val="006F76C3"/>
    <w:rsid w:val="006F7876"/>
    <w:rsid w:val="0072007E"/>
    <w:rsid w:val="0072282A"/>
    <w:rsid w:val="00727266"/>
    <w:rsid w:val="007370CA"/>
    <w:rsid w:val="007411D5"/>
    <w:rsid w:val="00742D43"/>
    <w:rsid w:val="00750DF9"/>
    <w:rsid w:val="00755396"/>
    <w:rsid w:val="00760DE4"/>
    <w:rsid w:val="00783CAE"/>
    <w:rsid w:val="007875F4"/>
    <w:rsid w:val="00791F34"/>
    <w:rsid w:val="00794936"/>
    <w:rsid w:val="00795837"/>
    <w:rsid w:val="007A42A2"/>
    <w:rsid w:val="007A5137"/>
    <w:rsid w:val="007A7A01"/>
    <w:rsid w:val="007C2320"/>
    <w:rsid w:val="007D71EC"/>
    <w:rsid w:val="007F36B5"/>
    <w:rsid w:val="007F43EA"/>
    <w:rsid w:val="00800EC7"/>
    <w:rsid w:val="00812A04"/>
    <w:rsid w:val="00813A64"/>
    <w:rsid w:val="00856291"/>
    <w:rsid w:val="00857C5A"/>
    <w:rsid w:val="00861217"/>
    <w:rsid w:val="00865EEC"/>
    <w:rsid w:val="008970FC"/>
    <w:rsid w:val="008B5DC0"/>
    <w:rsid w:val="008C7CD4"/>
    <w:rsid w:val="008E385D"/>
    <w:rsid w:val="008F0D44"/>
    <w:rsid w:val="00910FD1"/>
    <w:rsid w:val="0091108E"/>
    <w:rsid w:val="009221BD"/>
    <w:rsid w:val="009270D7"/>
    <w:rsid w:val="00927F3E"/>
    <w:rsid w:val="00930692"/>
    <w:rsid w:val="009473A6"/>
    <w:rsid w:val="00964E29"/>
    <w:rsid w:val="00974843"/>
    <w:rsid w:val="00975B07"/>
    <w:rsid w:val="00976A75"/>
    <w:rsid w:val="009900B5"/>
    <w:rsid w:val="00991A25"/>
    <w:rsid w:val="00993714"/>
    <w:rsid w:val="009A14E5"/>
    <w:rsid w:val="009C4244"/>
    <w:rsid w:val="009E4E6A"/>
    <w:rsid w:val="009E64CB"/>
    <w:rsid w:val="009F063A"/>
    <w:rsid w:val="009F1B9A"/>
    <w:rsid w:val="00A05A1E"/>
    <w:rsid w:val="00A147D5"/>
    <w:rsid w:val="00A50F03"/>
    <w:rsid w:val="00A5345B"/>
    <w:rsid w:val="00A56B19"/>
    <w:rsid w:val="00A62684"/>
    <w:rsid w:val="00A7217F"/>
    <w:rsid w:val="00A72700"/>
    <w:rsid w:val="00A74DFB"/>
    <w:rsid w:val="00A87101"/>
    <w:rsid w:val="00AA141B"/>
    <w:rsid w:val="00AB1DE9"/>
    <w:rsid w:val="00AB2F09"/>
    <w:rsid w:val="00AC04D8"/>
    <w:rsid w:val="00AC4412"/>
    <w:rsid w:val="00AE33AF"/>
    <w:rsid w:val="00AF2154"/>
    <w:rsid w:val="00B17CE6"/>
    <w:rsid w:val="00B23C0E"/>
    <w:rsid w:val="00B31B7E"/>
    <w:rsid w:val="00B465A7"/>
    <w:rsid w:val="00B829BC"/>
    <w:rsid w:val="00B94676"/>
    <w:rsid w:val="00B97F0D"/>
    <w:rsid w:val="00BB61A3"/>
    <w:rsid w:val="00BC42C6"/>
    <w:rsid w:val="00BD1202"/>
    <w:rsid w:val="00BF3A64"/>
    <w:rsid w:val="00C56684"/>
    <w:rsid w:val="00C7054C"/>
    <w:rsid w:val="00C85FF4"/>
    <w:rsid w:val="00C9693C"/>
    <w:rsid w:val="00C9740B"/>
    <w:rsid w:val="00CA6A04"/>
    <w:rsid w:val="00CB1821"/>
    <w:rsid w:val="00CB6F15"/>
    <w:rsid w:val="00CC60BA"/>
    <w:rsid w:val="00CC7BCE"/>
    <w:rsid w:val="00CD1117"/>
    <w:rsid w:val="00CE31AA"/>
    <w:rsid w:val="00CE3BB7"/>
    <w:rsid w:val="00CF7002"/>
    <w:rsid w:val="00D00145"/>
    <w:rsid w:val="00D140FD"/>
    <w:rsid w:val="00D25696"/>
    <w:rsid w:val="00D50E51"/>
    <w:rsid w:val="00D567C7"/>
    <w:rsid w:val="00D638F4"/>
    <w:rsid w:val="00D65E15"/>
    <w:rsid w:val="00D72BC0"/>
    <w:rsid w:val="00D7775F"/>
    <w:rsid w:val="00D92507"/>
    <w:rsid w:val="00DD40BF"/>
    <w:rsid w:val="00DF061E"/>
    <w:rsid w:val="00DF310B"/>
    <w:rsid w:val="00DF484F"/>
    <w:rsid w:val="00E0283D"/>
    <w:rsid w:val="00E05F7A"/>
    <w:rsid w:val="00E239B8"/>
    <w:rsid w:val="00E52B0A"/>
    <w:rsid w:val="00E61B7A"/>
    <w:rsid w:val="00E61B7B"/>
    <w:rsid w:val="00E8436B"/>
    <w:rsid w:val="00E925A2"/>
    <w:rsid w:val="00E9566F"/>
    <w:rsid w:val="00EA2A2F"/>
    <w:rsid w:val="00EA3414"/>
    <w:rsid w:val="00EA4DFB"/>
    <w:rsid w:val="00EC099F"/>
    <w:rsid w:val="00ED5F61"/>
    <w:rsid w:val="00ED6236"/>
    <w:rsid w:val="00EF1175"/>
    <w:rsid w:val="00EF1FA0"/>
    <w:rsid w:val="00F10858"/>
    <w:rsid w:val="00F14FF2"/>
    <w:rsid w:val="00F35329"/>
    <w:rsid w:val="00F4025D"/>
    <w:rsid w:val="00F4384B"/>
    <w:rsid w:val="00F55E9A"/>
    <w:rsid w:val="00F673D9"/>
    <w:rsid w:val="00FA1C55"/>
    <w:rsid w:val="00FB1014"/>
    <w:rsid w:val="00FC69B1"/>
    <w:rsid w:val="00FD5A71"/>
    <w:rsid w:val="03230BE5"/>
    <w:rsid w:val="12C84465"/>
    <w:rsid w:val="261079BD"/>
    <w:rsid w:val="287F6BDA"/>
    <w:rsid w:val="297B93DD"/>
    <w:rsid w:val="2A8C4A8A"/>
    <w:rsid w:val="34467B6F"/>
    <w:rsid w:val="50533D8A"/>
    <w:rsid w:val="50FF890F"/>
    <w:rsid w:val="5C666337"/>
    <w:rsid w:val="72213196"/>
    <w:rsid w:val="7561E60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C92B40"/>
  <w15:chartTrackingRefBased/>
  <w15:docId w15:val="{7703AB14-B005-4E7C-B2B9-80CDCDAE1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7CAD"/>
    <w:pPr>
      <w:spacing w:after="0" w:line="240" w:lineRule="auto"/>
    </w:pPr>
    <w:rPr>
      <w:rFonts w:ascii="Times New Roman" w:eastAsia="Times New Roman" w:hAnsi="Times New Roman" w:cs="Times New Roman"/>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0C0720"/>
    <w:pPr>
      <w:tabs>
        <w:tab w:val="center" w:pos="4252"/>
        <w:tab w:val="right" w:pos="8504"/>
      </w:tabs>
    </w:pPr>
  </w:style>
  <w:style w:type="character" w:customStyle="1" w:styleId="CabealhoChar">
    <w:name w:val="Cabeçalho Char"/>
    <w:basedOn w:val="Fontepargpadro"/>
    <w:link w:val="Cabealho"/>
    <w:uiPriority w:val="99"/>
    <w:rsid w:val="000C0720"/>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0C0720"/>
    <w:pPr>
      <w:tabs>
        <w:tab w:val="center" w:pos="4252"/>
        <w:tab w:val="right" w:pos="8504"/>
      </w:tabs>
    </w:pPr>
  </w:style>
  <w:style w:type="character" w:customStyle="1" w:styleId="RodapChar">
    <w:name w:val="Rodapé Char"/>
    <w:basedOn w:val="Fontepargpadro"/>
    <w:link w:val="Rodap"/>
    <w:uiPriority w:val="99"/>
    <w:rsid w:val="000C0720"/>
    <w:rPr>
      <w:rFonts w:ascii="Times New Roman" w:eastAsia="Times New Roman" w:hAnsi="Times New Roman" w:cs="Times New Roman"/>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5580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0e5b6e8-176a-4c1e-b76a-06c0039689ae">
      <Terms xmlns="http://schemas.microsoft.com/office/infopath/2007/PartnerControls"/>
    </lcf76f155ced4ddcb4097134ff3c332f>
    <TaxCatchAll xmlns="8f36ac4e-0087-47df-bda7-82429442a9bc" xsi:nil="true"/>
    <Data_x002f_Hora xmlns="30e5b6e8-176a-4c1e-b76a-06c0039689a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E3157BE33B390F498D087A0852654C86" ma:contentTypeVersion="17" ma:contentTypeDescription="Crie um novo documento." ma:contentTypeScope="" ma:versionID="7f39fa335ad1bfacf2c25149707ace51">
  <xsd:schema xmlns:xsd="http://www.w3.org/2001/XMLSchema" xmlns:xs="http://www.w3.org/2001/XMLSchema" xmlns:p="http://schemas.microsoft.com/office/2006/metadata/properties" xmlns:ns1="http://schemas.microsoft.com/sharepoint/v3" xmlns:ns2="30e5b6e8-176a-4c1e-b76a-06c0039689ae" xmlns:ns3="8f36ac4e-0087-47df-bda7-82429442a9bc" targetNamespace="http://schemas.microsoft.com/office/2006/metadata/properties" ma:root="true" ma:fieldsID="d5c198a681f0d0a9a6b6c4634a391caa" ns1:_="" ns2:_="" ns3:_="">
    <xsd:import namespace="http://schemas.microsoft.com/sharepoint/v3"/>
    <xsd:import namespace="30e5b6e8-176a-4c1e-b76a-06c0039689ae"/>
    <xsd:import namespace="8f36ac4e-0087-47df-bda7-82429442a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BillingMetadata" minOccurs="0"/>
                <xsd:element ref="ns2:MediaServiceOCR" minOccurs="0"/>
                <xsd:element ref="ns2:Data_x002f_Hor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Propriedades da Política de Conformidade Unificada" ma:hidden="true" ma:internalName="_ip_UnifiedCompliancePolicyProperties">
      <xsd:simpleType>
        <xsd:restriction base="dms:Note"/>
      </xsd:simpleType>
    </xsd:element>
    <xsd:element name="_ip_UnifiedCompliancePolicyUIAction" ma:index="12"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e5b6e8-176a-4c1e-b76a-06c0039689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Data_x002f_Hora" ma:index="23" nillable="true" ma:displayName="Data/Hora" ma:format="DateOnly" ma:internalName="Data_x002f_Hor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f36ac4e-0087-47df-bda7-82429442a9b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0c026ff9-af56-4e2a-8b69-c4eb45a8ee21}" ma:internalName="TaxCatchAll" ma:showField="CatchAllData" ma:web="8f36ac4e-0087-47df-bda7-82429442a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7C435F-FA3F-4971-8A7A-ECC1227DD35E}">
  <ds:schemaRefs>
    <ds:schemaRef ds:uri="http://schemas.microsoft.com/sharepoint/v3/contenttype/forms"/>
  </ds:schemaRefs>
</ds:datastoreItem>
</file>

<file path=customXml/itemProps2.xml><?xml version="1.0" encoding="utf-8"?>
<ds:datastoreItem xmlns:ds="http://schemas.openxmlformats.org/officeDocument/2006/customXml" ds:itemID="{FDF9F118-4982-4914-9602-F7EA3A399B25}">
  <ds:schemaRefs>
    <ds:schemaRef ds:uri="http://schemas.microsoft.com/office/2006/metadata/properties"/>
    <ds:schemaRef ds:uri="http://schemas.microsoft.com/office/infopath/2007/PartnerControls"/>
    <ds:schemaRef ds:uri="http://schemas.microsoft.com/sharepoint/v3"/>
    <ds:schemaRef ds:uri="c3850943-5ea1-49a5-8ed8-1f9b28c9b5e0"/>
    <ds:schemaRef ds:uri="708d409b-2d58-4558-bf66-9153ba9d8a3c"/>
  </ds:schemaRefs>
</ds:datastoreItem>
</file>

<file path=customXml/itemProps3.xml><?xml version="1.0" encoding="utf-8"?>
<ds:datastoreItem xmlns:ds="http://schemas.openxmlformats.org/officeDocument/2006/customXml" ds:itemID="{9FCB184C-E692-4AAF-AF06-6407BF2E64B7}"/>
</file>

<file path=docProps/app.xml><?xml version="1.0" encoding="utf-8"?>
<Properties xmlns="http://schemas.openxmlformats.org/officeDocument/2006/extended-properties" xmlns:vt="http://schemas.openxmlformats.org/officeDocument/2006/docPropsVTypes">
  <Template>Normal</Template>
  <TotalTime>1</TotalTime>
  <Pages>3</Pages>
  <Words>2569</Words>
  <Characters>13878</Characters>
  <Application>Microsoft Office Word</Application>
  <DocSecurity>0</DocSecurity>
  <Lines>115</Lines>
  <Paragraphs>32</Paragraphs>
  <ScaleCrop>false</ScaleCrop>
  <Company>Caixa Economica Federal</Company>
  <LinksUpToDate>false</LinksUpToDate>
  <CharactersWithSpaces>16415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Wilker Azevedo Lima</dc:creator>
  <cp:keywords/>
  <dc:description/>
  <cp:lastModifiedBy>Kamille Katsumi Ramos Kodama</cp:lastModifiedBy>
  <cp:revision>205</cp:revision>
  <cp:lastPrinted>2022-07-04T20:22:00Z</cp:lastPrinted>
  <dcterms:created xsi:type="dcterms:W3CDTF">2022-06-30T23:45:00Z</dcterms:created>
  <dcterms:modified xsi:type="dcterms:W3CDTF">2025-07-29T18:53:00Z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de7aacd-7cc4-4c31-9e6f-7ef306428f09_Enabled">
    <vt:lpwstr>true</vt:lpwstr>
  </property>
  <property fmtid="{D5CDD505-2E9C-101B-9397-08002B2CF9AE}" pid="3" name="MSIP_Label_fde7aacd-7cc4-4c31-9e6f-7ef306428f09_SetDate">
    <vt:lpwstr>2022-07-04T20:22:22Z</vt:lpwstr>
  </property>
  <property fmtid="{D5CDD505-2E9C-101B-9397-08002B2CF9AE}" pid="4" name="MSIP_Label_fde7aacd-7cc4-4c31-9e6f-7ef306428f09_Method">
    <vt:lpwstr>Privileged</vt:lpwstr>
  </property>
  <property fmtid="{D5CDD505-2E9C-101B-9397-08002B2CF9AE}" pid="5" name="MSIP_Label_fde7aacd-7cc4-4c31-9e6f-7ef306428f09_Name">
    <vt:lpwstr>_PUBLICO</vt:lpwstr>
  </property>
  <property fmtid="{D5CDD505-2E9C-101B-9397-08002B2CF9AE}" pid="6" name="MSIP_Label_fde7aacd-7cc4-4c31-9e6f-7ef306428f09_SiteId">
    <vt:lpwstr>ab9bba98-684a-43fb-add8-9c2bebede229</vt:lpwstr>
  </property>
  <property fmtid="{D5CDD505-2E9C-101B-9397-08002B2CF9AE}" pid="7" name="MSIP_Label_fde7aacd-7cc4-4c31-9e6f-7ef306428f09_ActionId">
    <vt:lpwstr>278cff76-bb4d-4af2-bcd0-952a8397ab6f</vt:lpwstr>
  </property>
  <property fmtid="{D5CDD505-2E9C-101B-9397-08002B2CF9AE}" pid="8" name="MSIP_Label_fde7aacd-7cc4-4c31-9e6f-7ef306428f09_ContentBits">
    <vt:lpwstr>1</vt:lpwstr>
  </property>
  <property fmtid="{D5CDD505-2E9C-101B-9397-08002B2CF9AE}" pid="9" name="ContentTypeId">
    <vt:lpwstr>0x010100E3157BE33B390F498D087A0852654C86</vt:lpwstr>
  </property>
  <property fmtid="{D5CDD505-2E9C-101B-9397-08002B2CF9AE}" pid="10" name="MediaServiceImageTags">
    <vt:lpwstr/>
  </property>
</Properties>
</file>